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506FB" w14:textId="77777777" w:rsidR="00141B58" w:rsidRDefault="00BF70E4">
      <w:pPr>
        <w:spacing w:line="560" w:lineRule="exact"/>
        <w:jc w:val="center"/>
        <w:rPr>
          <w:rFonts w:eastAsia="方正小标宋简体"/>
          <w:sz w:val="44"/>
          <w:szCs w:val="44"/>
        </w:rPr>
      </w:pPr>
      <w:bookmarkStart w:id="0" w:name="_Hlk153359018"/>
      <w:r>
        <w:rPr>
          <w:rFonts w:eastAsia="方正小标宋简体" w:hint="eastAsia"/>
          <w:bCs/>
          <w:snapToGrid w:val="0"/>
          <w:color w:val="000000"/>
          <w:kern w:val="0"/>
          <w:sz w:val="44"/>
          <w:szCs w:val="44"/>
        </w:rPr>
        <w:t>岭南学院本科毕业论文工作管理细则</w:t>
      </w:r>
    </w:p>
    <w:p w14:paraId="0E78685C" w14:textId="77777777" w:rsidR="00141B58" w:rsidRDefault="00141B58">
      <w:pPr>
        <w:spacing w:line="500" w:lineRule="atLeast"/>
        <w:ind w:firstLineChars="200" w:firstLine="624"/>
        <w:rPr>
          <w:szCs w:val="32"/>
          <w:shd w:val="clear" w:color="auto" w:fill="FFFFFF"/>
        </w:rPr>
      </w:pPr>
    </w:p>
    <w:p w14:paraId="6FC0C774" w14:textId="77777777" w:rsidR="00141B58" w:rsidRDefault="00BF70E4">
      <w:pPr>
        <w:numPr>
          <w:ilvl w:val="255"/>
          <w:numId w:val="0"/>
        </w:numPr>
        <w:ind w:firstLineChars="200" w:firstLine="626"/>
      </w:pPr>
      <w:r>
        <w:rPr>
          <w:rFonts w:hint="eastAsia"/>
          <w:b/>
          <w:bCs/>
          <w:szCs w:val="32"/>
        </w:rPr>
        <w:t>第一条</w:t>
      </w:r>
      <w:r>
        <w:rPr>
          <w:rFonts w:hint="eastAsia"/>
          <w:szCs w:val="32"/>
        </w:rPr>
        <w:t xml:space="preserve"> </w:t>
      </w:r>
      <w:r>
        <w:rPr>
          <w:szCs w:val="32"/>
        </w:rPr>
        <w:t>为进一步规范我院本科毕业论文工作，确保毕业论文质量，根据</w:t>
      </w:r>
      <w:r>
        <w:rPr>
          <w:rFonts w:hint="eastAsia"/>
          <w:szCs w:val="32"/>
        </w:rPr>
        <w:t>经济学、金融学专业类</w:t>
      </w:r>
      <w:r>
        <w:rPr>
          <w:rFonts w:ascii="仿宋_GB2312" w:hint="eastAsia"/>
          <w:szCs w:val="32"/>
        </w:rPr>
        <w:t>教学质量国家标准及</w:t>
      </w:r>
      <w:r>
        <w:rPr>
          <w:szCs w:val="32"/>
        </w:rPr>
        <w:t>《中山大学本科</w:t>
      </w:r>
      <w:r>
        <w:rPr>
          <w:rFonts w:hint="eastAsia"/>
          <w:szCs w:val="32"/>
        </w:rPr>
        <w:t>教学管理规定</w:t>
      </w:r>
      <w:r>
        <w:rPr>
          <w:szCs w:val="32"/>
        </w:rPr>
        <w:t>》</w:t>
      </w:r>
      <w:r>
        <w:t>文件要求，结合</w:t>
      </w:r>
      <w:r>
        <w:rPr>
          <w:szCs w:val="32"/>
        </w:rPr>
        <w:t>学院实际情况，</w:t>
      </w:r>
      <w:r>
        <w:rPr>
          <w:rFonts w:hint="eastAsia"/>
          <w:szCs w:val="32"/>
        </w:rPr>
        <w:t>修订</w:t>
      </w:r>
      <w:r>
        <w:rPr>
          <w:szCs w:val="32"/>
        </w:rPr>
        <w:t>本细则。</w:t>
      </w:r>
    </w:p>
    <w:p w14:paraId="4ECB36B0" w14:textId="77777777" w:rsidR="00141B58" w:rsidRDefault="00BF70E4">
      <w:pPr>
        <w:ind w:firstLine="643"/>
        <w:rPr>
          <w:color w:val="000000"/>
          <w:szCs w:val="32"/>
        </w:rPr>
      </w:pPr>
      <w:r>
        <w:rPr>
          <w:b/>
          <w:szCs w:val="32"/>
        </w:rPr>
        <w:t>第</w:t>
      </w:r>
      <w:r>
        <w:rPr>
          <w:rFonts w:hint="eastAsia"/>
          <w:b/>
          <w:szCs w:val="32"/>
        </w:rPr>
        <w:t>二</w:t>
      </w:r>
      <w:r>
        <w:rPr>
          <w:b/>
          <w:szCs w:val="32"/>
        </w:rPr>
        <w:t>条</w:t>
      </w:r>
      <w:r>
        <w:rPr>
          <w:szCs w:val="32"/>
        </w:rPr>
        <w:t xml:space="preserve"> </w:t>
      </w:r>
      <w:r>
        <w:rPr>
          <w:color w:val="000000"/>
          <w:szCs w:val="32"/>
        </w:rPr>
        <w:t>毕业论文工作实行院、教研室两级管理。学院负责制定毕业论文工作管理细则</w:t>
      </w:r>
      <w:r>
        <w:rPr>
          <w:rFonts w:hint="eastAsia"/>
          <w:color w:val="000000"/>
          <w:szCs w:val="32"/>
        </w:rPr>
        <w:t>，</w:t>
      </w:r>
      <w:r>
        <w:rPr>
          <w:color w:val="000000"/>
          <w:szCs w:val="32"/>
        </w:rPr>
        <w:t>对</w:t>
      </w:r>
      <w:r>
        <w:rPr>
          <w:rFonts w:hint="eastAsia"/>
          <w:color w:val="000000"/>
          <w:szCs w:val="32"/>
        </w:rPr>
        <w:t>学</w:t>
      </w:r>
      <w:r>
        <w:rPr>
          <w:color w:val="000000"/>
          <w:szCs w:val="32"/>
        </w:rPr>
        <w:t>院毕业论文工作进行统筹与监督；各教研室应根据本</w:t>
      </w:r>
      <w:r>
        <w:rPr>
          <w:rFonts w:hint="eastAsia"/>
          <w:color w:val="000000"/>
          <w:szCs w:val="32"/>
        </w:rPr>
        <w:t>细则</w:t>
      </w:r>
      <w:r>
        <w:rPr>
          <w:color w:val="000000"/>
          <w:szCs w:val="32"/>
        </w:rPr>
        <w:t>，组织好师生，落实工作。</w:t>
      </w:r>
    </w:p>
    <w:p w14:paraId="185DD69B" w14:textId="77777777" w:rsidR="00141B58" w:rsidRDefault="00BF70E4">
      <w:pPr>
        <w:ind w:firstLine="643"/>
        <w:rPr>
          <w:szCs w:val="32"/>
        </w:rPr>
      </w:pPr>
      <w:r>
        <w:rPr>
          <w:b/>
          <w:bCs/>
          <w:szCs w:val="32"/>
        </w:rPr>
        <w:t>第</w:t>
      </w:r>
      <w:r>
        <w:rPr>
          <w:rFonts w:hint="eastAsia"/>
          <w:b/>
          <w:bCs/>
          <w:szCs w:val="32"/>
        </w:rPr>
        <w:t>三</w:t>
      </w:r>
      <w:r>
        <w:rPr>
          <w:b/>
          <w:bCs/>
          <w:szCs w:val="32"/>
        </w:rPr>
        <w:t>条</w:t>
      </w:r>
      <w:r>
        <w:rPr>
          <w:szCs w:val="32"/>
        </w:rPr>
        <w:t xml:space="preserve"> </w:t>
      </w:r>
      <w:r>
        <w:rPr>
          <w:szCs w:val="32"/>
        </w:rPr>
        <w:t>毕业论文工作一般安排在本科阶段最后</w:t>
      </w:r>
      <w:proofErr w:type="gramStart"/>
      <w:r>
        <w:rPr>
          <w:szCs w:val="32"/>
        </w:rPr>
        <w:t>一</w:t>
      </w:r>
      <w:proofErr w:type="gramEnd"/>
      <w:r>
        <w:rPr>
          <w:szCs w:val="32"/>
        </w:rPr>
        <w:t>学年，各项工作时间节点</w:t>
      </w:r>
      <w:r>
        <w:rPr>
          <w:rFonts w:hint="eastAsia"/>
          <w:szCs w:val="32"/>
        </w:rPr>
        <w:t>大致</w:t>
      </w:r>
      <w:r>
        <w:rPr>
          <w:szCs w:val="32"/>
        </w:rPr>
        <w:t>安排如下：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2302"/>
        <w:gridCol w:w="3840"/>
      </w:tblGrid>
      <w:tr w:rsidR="00141B58" w14:paraId="2CF2FD64" w14:textId="77777777">
        <w:trPr>
          <w:tblHeader/>
          <w:jc w:val="center"/>
        </w:trPr>
        <w:tc>
          <w:tcPr>
            <w:tcW w:w="2154" w:type="dxa"/>
            <w:shd w:val="clear" w:color="auto" w:fill="auto"/>
          </w:tcPr>
          <w:p w14:paraId="14908DF9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b/>
                <w:kern w:val="0"/>
                <w:szCs w:val="32"/>
              </w:rPr>
            </w:pPr>
            <w:r>
              <w:rPr>
                <w:rFonts w:hint="eastAsia"/>
                <w:b/>
                <w:kern w:val="0"/>
                <w:szCs w:val="32"/>
              </w:rPr>
              <w:t>时间节点</w:t>
            </w:r>
          </w:p>
        </w:tc>
        <w:tc>
          <w:tcPr>
            <w:tcW w:w="2302" w:type="dxa"/>
            <w:shd w:val="clear" w:color="auto" w:fill="auto"/>
          </w:tcPr>
          <w:p w14:paraId="36FCF95F" w14:textId="77777777" w:rsidR="00141B58" w:rsidRDefault="00BF70E4">
            <w:pPr>
              <w:jc w:val="center"/>
              <w:rPr>
                <w:b/>
                <w:kern w:val="0"/>
                <w:sz w:val="28"/>
                <w:szCs w:val="32"/>
              </w:rPr>
            </w:pPr>
            <w:r>
              <w:rPr>
                <w:rFonts w:hint="eastAsia"/>
                <w:b/>
                <w:kern w:val="0"/>
                <w:sz w:val="28"/>
                <w:szCs w:val="32"/>
              </w:rPr>
              <w:t>工作事项</w:t>
            </w:r>
          </w:p>
        </w:tc>
        <w:tc>
          <w:tcPr>
            <w:tcW w:w="3840" w:type="dxa"/>
            <w:shd w:val="clear" w:color="auto" w:fill="auto"/>
          </w:tcPr>
          <w:p w14:paraId="65BEF7B9" w14:textId="77777777" w:rsidR="00141B58" w:rsidRDefault="00BF70E4">
            <w:pPr>
              <w:jc w:val="center"/>
              <w:rPr>
                <w:b/>
                <w:kern w:val="0"/>
                <w:sz w:val="28"/>
                <w:szCs w:val="32"/>
              </w:rPr>
            </w:pPr>
            <w:proofErr w:type="gramStart"/>
            <w:r>
              <w:rPr>
                <w:rFonts w:hint="eastAsia"/>
                <w:b/>
                <w:kern w:val="0"/>
                <w:sz w:val="28"/>
                <w:szCs w:val="32"/>
              </w:rPr>
              <w:t>毕设系统</w:t>
            </w:r>
            <w:proofErr w:type="gramEnd"/>
            <w:r>
              <w:rPr>
                <w:rFonts w:hint="eastAsia"/>
                <w:b/>
                <w:kern w:val="0"/>
                <w:sz w:val="28"/>
                <w:szCs w:val="32"/>
              </w:rPr>
              <w:t>工作要求</w:t>
            </w:r>
          </w:p>
        </w:tc>
      </w:tr>
      <w:tr w:rsidR="00141B58" w14:paraId="6F071B95" w14:textId="77777777">
        <w:trPr>
          <w:trHeight w:val="976"/>
          <w:jc w:val="center"/>
        </w:trPr>
        <w:tc>
          <w:tcPr>
            <w:tcW w:w="2154" w:type="dxa"/>
            <w:shd w:val="clear" w:color="auto" w:fill="auto"/>
            <w:vAlign w:val="center"/>
          </w:tcPr>
          <w:p w14:paraId="5C49B3D6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大四秋季学期第十四周前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16E12191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明确毕业论文指导教师，确定选题信息</w:t>
            </w:r>
          </w:p>
        </w:tc>
        <w:tc>
          <w:tcPr>
            <w:tcW w:w="3840" w:type="dxa"/>
            <w:shd w:val="clear" w:color="auto" w:fill="auto"/>
            <w:vAlign w:val="center"/>
          </w:tcPr>
          <w:p w14:paraId="0DC2B20B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完成“师生双选”信息录入工作</w:t>
            </w:r>
          </w:p>
        </w:tc>
      </w:tr>
      <w:tr w:rsidR="00141B58" w14:paraId="48F03F45" w14:textId="77777777">
        <w:trPr>
          <w:trHeight w:val="976"/>
          <w:jc w:val="center"/>
        </w:trPr>
        <w:tc>
          <w:tcPr>
            <w:tcW w:w="2154" w:type="dxa"/>
            <w:shd w:val="clear" w:color="auto" w:fill="auto"/>
            <w:vAlign w:val="center"/>
          </w:tcPr>
          <w:p w14:paraId="6EB3D59A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大四秋季学期第十八周前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5EFEB69F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完成开题报告</w:t>
            </w:r>
          </w:p>
        </w:tc>
        <w:tc>
          <w:tcPr>
            <w:tcW w:w="3840" w:type="dxa"/>
            <w:shd w:val="clear" w:color="auto" w:fill="auto"/>
            <w:vAlign w:val="center"/>
          </w:tcPr>
          <w:p w14:paraId="1CC056B7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完成开题报告录入和审核</w:t>
            </w:r>
          </w:p>
        </w:tc>
      </w:tr>
      <w:tr w:rsidR="00141B58" w14:paraId="7FA8383B" w14:textId="77777777">
        <w:trPr>
          <w:trHeight w:val="832"/>
          <w:jc w:val="center"/>
        </w:trPr>
        <w:tc>
          <w:tcPr>
            <w:tcW w:w="2154" w:type="dxa"/>
            <w:shd w:val="clear" w:color="auto" w:fill="auto"/>
            <w:vAlign w:val="center"/>
          </w:tcPr>
          <w:p w14:paraId="2B9E4C56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大四春季</w:t>
            </w:r>
            <w:proofErr w:type="gramStart"/>
            <w:r>
              <w:rPr>
                <w:rFonts w:hint="eastAsia"/>
                <w:kern w:val="0"/>
                <w:sz w:val="28"/>
                <w:szCs w:val="28"/>
              </w:rPr>
              <w:t>学期第</w:t>
            </w:r>
            <w:proofErr w:type="gramEnd"/>
            <w:r>
              <w:rPr>
                <w:rFonts w:hint="eastAsia"/>
                <w:kern w:val="0"/>
                <w:sz w:val="28"/>
                <w:szCs w:val="28"/>
              </w:rPr>
              <w:t>四周前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3339AF68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完成中期检查</w:t>
            </w:r>
          </w:p>
        </w:tc>
        <w:tc>
          <w:tcPr>
            <w:tcW w:w="3840" w:type="dxa"/>
            <w:shd w:val="clear" w:color="auto" w:fill="auto"/>
            <w:vAlign w:val="center"/>
          </w:tcPr>
          <w:p w14:paraId="40CD44C7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学生在</w:t>
            </w:r>
            <w:proofErr w:type="gramStart"/>
            <w:r>
              <w:rPr>
                <w:rFonts w:hint="eastAsia"/>
                <w:kern w:val="0"/>
                <w:sz w:val="28"/>
                <w:szCs w:val="28"/>
              </w:rPr>
              <w:t>毕设系统</w:t>
            </w:r>
            <w:proofErr w:type="gramEnd"/>
            <w:r>
              <w:rPr>
                <w:rFonts w:hint="eastAsia"/>
                <w:kern w:val="0"/>
                <w:sz w:val="28"/>
                <w:szCs w:val="28"/>
              </w:rPr>
              <w:t>填写指导记录情况，导师进行审核</w:t>
            </w:r>
          </w:p>
        </w:tc>
      </w:tr>
      <w:tr w:rsidR="00141B58" w14:paraId="41357394" w14:textId="77777777">
        <w:trPr>
          <w:trHeight w:val="845"/>
          <w:jc w:val="center"/>
        </w:trPr>
        <w:tc>
          <w:tcPr>
            <w:tcW w:w="2154" w:type="dxa"/>
            <w:shd w:val="clear" w:color="auto" w:fill="auto"/>
            <w:vAlign w:val="center"/>
          </w:tcPr>
          <w:p w14:paraId="3221F463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大四春季学期第八周前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1C1016DA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完成论文（答辩资格审核版）</w:t>
            </w:r>
          </w:p>
        </w:tc>
        <w:tc>
          <w:tcPr>
            <w:tcW w:w="3840" w:type="dxa"/>
            <w:shd w:val="clear" w:color="auto" w:fill="auto"/>
            <w:vAlign w:val="center"/>
          </w:tcPr>
          <w:p w14:paraId="530A7958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学生经导师同意后，在系统提交论文（答辩资格审核版）</w:t>
            </w:r>
          </w:p>
        </w:tc>
      </w:tr>
      <w:tr w:rsidR="00141B58" w14:paraId="054E19D4" w14:textId="77777777">
        <w:trPr>
          <w:trHeight w:val="842"/>
          <w:jc w:val="center"/>
        </w:trPr>
        <w:tc>
          <w:tcPr>
            <w:tcW w:w="2154" w:type="dxa"/>
            <w:shd w:val="clear" w:color="auto" w:fill="auto"/>
            <w:vAlign w:val="center"/>
          </w:tcPr>
          <w:p w14:paraId="5221B32A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大四春季学期第九周前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30909146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开展毕业论文检测、答辩资格审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lastRenderedPageBreak/>
              <w:t>核</w:t>
            </w:r>
          </w:p>
        </w:tc>
        <w:tc>
          <w:tcPr>
            <w:tcW w:w="3840" w:type="dxa"/>
            <w:shd w:val="clear" w:color="auto" w:fill="auto"/>
            <w:vAlign w:val="center"/>
          </w:tcPr>
          <w:p w14:paraId="39BC751E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lastRenderedPageBreak/>
              <w:t>导师评阅、审核答辩资格，主管教学领导、二级党组织书记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lastRenderedPageBreak/>
              <w:t>审核答辩资格</w:t>
            </w:r>
          </w:p>
        </w:tc>
      </w:tr>
      <w:tr w:rsidR="00141B58" w14:paraId="31B3828F" w14:textId="77777777">
        <w:trPr>
          <w:trHeight w:val="983"/>
          <w:jc w:val="center"/>
        </w:trPr>
        <w:tc>
          <w:tcPr>
            <w:tcW w:w="2154" w:type="dxa"/>
            <w:shd w:val="clear" w:color="auto" w:fill="auto"/>
            <w:vAlign w:val="center"/>
          </w:tcPr>
          <w:p w14:paraId="6FF69FD5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lastRenderedPageBreak/>
              <w:t>大四春季学期第十周左右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47313FE6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完成毕业论文答辩和推优</w:t>
            </w:r>
          </w:p>
        </w:tc>
        <w:tc>
          <w:tcPr>
            <w:tcW w:w="3840" w:type="dxa"/>
            <w:shd w:val="clear" w:color="auto" w:fill="auto"/>
            <w:vAlign w:val="center"/>
          </w:tcPr>
          <w:p w14:paraId="31123E14" w14:textId="77777777" w:rsidR="00141B58" w:rsidRDefault="00BF70E4">
            <w:pPr>
              <w:ind w:firstLineChars="100" w:firstLine="272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录入答辩成绩和答辩情况登记表</w:t>
            </w:r>
          </w:p>
        </w:tc>
      </w:tr>
      <w:tr w:rsidR="00141B58" w14:paraId="7F4DAE31" w14:textId="77777777">
        <w:trPr>
          <w:trHeight w:val="1030"/>
          <w:jc w:val="center"/>
        </w:trPr>
        <w:tc>
          <w:tcPr>
            <w:tcW w:w="2154" w:type="dxa"/>
            <w:shd w:val="clear" w:color="auto" w:fill="auto"/>
            <w:vAlign w:val="center"/>
          </w:tcPr>
          <w:p w14:paraId="2FC76C75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大四春季学期第十二周前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592B9A3C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完成论文（最终稿）审核，归档</w:t>
            </w:r>
          </w:p>
        </w:tc>
        <w:tc>
          <w:tcPr>
            <w:tcW w:w="3840" w:type="dxa"/>
            <w:shd w:val="clear" w:color="auto" w:fill="auto"/>
            <w:vAlign w:val="center"/>
          </w:tcPr>
          <w:p w14:paraId="6C087B97" w14:textId="77777777" w:rsidR="00141B58" w:rsidRDefault="00BF70E4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完成毕业论文（最终稿）审核，按要求印制及装订论文，交学院存档</w:t>
            </w:r>
          </w:p>
        </w:tc>
      </w:tr>
    </w:tbl>
    <w:p w14:paraId="1C7D4864" w14:textId="0414139A" w:rsidR="00141B58" w:rsidRPr="004730FF" w:rsidRDefault="00BF70E4">
      <w:pPr>
        <w:ind w:firstLine="643"/>
        <w:rPr>
          <w:color w:val="FF0000"/>
          <w:szCs w:val="32"/>
        </w:rPr>
      </w:pPr>
      <w:r>
        <w:rPr>
          <w:b/>
          <w:bCs/>
          <w:szCs w:val="32"/>
        </w:rPr>
        <w:t>第</w:t>
      </w:r>
      <w:r>
        <w:rPr>
          <w:rFonts w:hint="eastAsia"/>
          <w:b/>
          <w:bCs/>
          <w:szCs w:val="32"/>
        </w:rPr>
        <w:t>四</w:t>
      </w:r>
      <w:r>
        <w:rPr>
          <w:b/>
          <w:bCs/>
          <w:szCs w:val="32"/>
        </w:rPr>
        <w:t>条</w:t>
      </w:r>
      <w:r>
        <w:rPr>
          <w:szCs w:val="32"/>
        </w:rPr>
        <w:t xml:space="preserve"> </w:t>
      </w:r>
      <w:r>
        <w:rPr>
          <w:szCs w:val="32"/>
        </w:rPr>
        <w:t>每位导师所指导的学生人数，原则上不超过</w:t>
      </w:r>
      <w:r>
        <w:rPr>
          <w:szCs w:val="32"/>
        </w:rPr>
        <w:t>4</w:t>
      </w:r>
      <w:r>
        <w:rPr>
          <w:szCs w:val="32"/>
        </w:rPr>
        <w:t>人</w:t>
      </w:r>
      <w:bookmarkStart w:id="1" w:name="_Hlk121322979"/>
      <w:r>
        <w:rPr>
          <w:szCs w:val="32"/>
        </w:rPr>
        <w:t>，</w:t>
      </w:r>
      <w:r>
        <w:rPr>
          <w:rFonts w:hint="eastAsia"/>
          <w:szCs w:val="32"/>
        </w:rPr>
        <w:t>不少于</w:t>
      </w:r>
      <w:r>
        <w:rPr>
          <w:szCs w:val="32"/>
        </w:rPr>
        <w:t>2</w:t>
      </w:r>
      <w:r>
        <w:rPr>
          <w:rFonts w:hint="eastAsia"/>
          <w:szCs w:val="32"/>
        </w:rPr>
        <w:t>人，</w:t>
      </w:r>
      <w:r>
        <w:rPr>
          <w:szCs w:val="32"/>
        </w:rPr>
        <w:t>导师是毕业论文工作的第一责任人</w:t>
      </w:r>
      <w:r>
        <w:rPr>
          <w:rFonts w:hint="eastAsia"/>
          <w:szCs w:val="32"/>
        </w:rPr>
        <w:t>。若确有需要指导超过</w:t>
      </w:r>
      <w:r>
        <w:rPr>
          <w:szCs w:val="32"/>
        </w:rPr>
        <w:t>4</w:t>
      </w:r>
      <w:r>
        <w:rPr>
          <w:rFonts w:hint="eastAsia"/>
          <w:szCs w:val="32"/>
        </w:rPr>
        <w:t>位学生，或指导少于</w:t>
      </w:r>
      <w:r>
        <w:rPr>
          <w:szCs w:val="32"/>
        </w:rPr>
        <w:t>2</w:t>
      </w:r>
      <w:r>
        <w:rPr>
          <w:rFonts w:hint="eastAsia"/>
          <w:szCs w:val="32"/>
        </w:rPr>
        <w:t>位学生，需提交学院党政联席会议批准</w:t>
      </w:r>
      <w:bookmarkEnd w:id="1"/>
      <w:r>
        <w:rPr>
          <w:rFonts w:hint="eastAsia"/>
          <w:szCs w:val="32"/>
        </w:rPr>
        <w:t>。</w:t>
      </w:r>
    </w:p>
    <w:p w14:paraId="59199940" w14:textId="77777777" w:rsidR="00141B58" w:rsidRDefault="00BF70E4">
      <w:pPr>
        <w:pStyle w:val="a3"/>
        <w:ind w:firstLine="626"/>
        <w:jc w:val="both"/>
        <w:rPr>
          <w:rFonts w:ascii="Times New Roman" w:hAnsi="Times New Roman"/>
          <w:szCs w:val="32"/>
        </w:rPr>
      </w:pPr>
      <w:r>
        <w:rPr>
          <w:rFonts w:ascii="Times New Roman" w:hAnsi="Times New Roman"/>
          <w:b/>
          <w:szCs w:val="32"/>
        </w:rPr>
        <w:t>第</w:t>
      </w:r>
      <w:r>
        <w:rPr>
          <w:rFonts w:ascii="Times New Roman" w:hAnsi="Times New Roman" w:hint="eastAsia"/>
          <w:b/>
          <w:szCs w:val="32"/>
        </w:rPr>
        <w:t>五</w:t>
      </w:r>
      <w:r>
        <w:rPr>
          <w:rFonts w:ascii="Times New Roman" w:hAnsi="Times New Roman"/>
          <w:b/>
          <w:szCs w:val="32"/>
        </w:rPr>
        <w:t>条</w:t>
      </w:r>
      <w:r>
        <w:rPr>
          <w:rFonts w:ascii="Times New Roman" w:hAnsi="Times New Roman"/>
          <w:szCs w:val="32"/>
        </w:rPr>
        <w:t xml:space="preserve"> </w:t>
      </w:r>
      <w:r>
        <w:rPr>
          <w:rFonts w:ascii="Times New Roman" w:hAnsi="Times New Roman" w:hint="eastAsia"/>
          <w:color w:val="000000"/>
          <w:szCs w:val="32"/>
        </w:rPr>
        <w:t>选题方向应与本专业一致，一人一题，原则上以导师的科研项目作为选题方向。</w:t>
      </w:r>
      <w:proofErr w:type="gramStart"/>
      <w:r>
        <w:rPr>
          <w:rFonts w:ascii="Times New Roman" w:hAnsi="Times New Roman" w:hint="eastAsia"/>
          <w:color w:val="000000"/>
          <w:szCs w:val="32"/>
        </w:rPr>
        <w:t>无科研</w:t>
      </w:r>
      <w:proofErr w:type="gramEnd"/>
      <w:r>
        <w:rPr>
          <w:rFonts w:ascii="Times New Roman" w:hAnsi="Times New Roman" w:hint="eastAsia"/>
          <w:color w:val="000000"/>
          <w:szCs w:val="32"/>
        </w:rPr>
        <w:t>课题的导师若确需指导，需提交学院党政联席会议批准。选题不能为综述类课题，</w:t>
      </w:r>
      <w:r>
        <w:rPr>
          <w:rFonts w:ascii="Times New Roman" w:hAnsi="Times New Roman" w:hint="eastAsia"/>
          <w:color w:val="000000"/>
        </w:rPr>
        <w:t>鼓励选题来自实验、实习、工程实践和社会调查等社会实践</w:t>
      </w:r>
      <w:r>
        <w:rPr>
          <w:rFonts w:ascii="Times New Roman" w:hAnsi="Times New Roman"/>
          <w:color w:val="000000"/>
        </w:rPr>
        <w:t>；</w:t>
      </w:r>
      <w:r>
        <w:rPr>
          <w:rFonts w:ascii="Times New Roman" w:hAnsi="Times New Roman" w:hint="eastAsia"/>
          <w:color w:val="000000"/>
          <w:szCs w:val="32"/>
        </w:rPr>
        <w:t>不能与近</w:t>
      </w:r>
      <w:r>
        <w:rPr>
          <w:rFonts w:ascii="Times New Roman" w:hAnsi="Times New Roman" w:hint="eastAsia"/>
          <w:color w:val="000000"/>
          <w:szCs w:val="32"/>
        </w:rPr>
        <w:t>2</w:t>
      </w:r>
      <w:r>
        <w:rPr>
          <w:rFonts w:ascii="Times New Roman" w:hAnsi="Times New Roman" w:hint="eastAsia"/>
          <w:color w:val="000000"/>
          <w:szCs w:val="32"/>
        </w:rPr>
        <w:t>届学生的毕业论文题目相同。</w:t>
      </w:r>
      <w:r>
        <w:rPr>
          <w:rFonts w:ascii="Times New Roman" w:hAnsi="Times New Roman" w:hint="eastAsia"/>
          <w:szCs w:val="32"/>
        </w:rPr>
        <w:t>论文题目应以简短、明确的词语恰当概括毕业论文的核心内容，避免使用不常见的缩略词、缩写字，避免表述过于宽泛，必要时可增加副标题。</w:t>
      </w:r>
    </w:p>
    <w:p w14:paraId="48CFB871" w14:textId="77777777" w:rsidR="00141B58" w:rsidRDefault="00BF70E4">
      <w:pPr>
        <w:numPr>
          <w:ilvl w:val="255"/>
          <w:numId w:val="0"/>
        </w:numPr>
        <w:ind w:firstLine="640"/>
        <w:rPr>
          <w:bCs/>
          <w:szCs w:val="32"/>
        </w:rPr>
      </w:pPr>
      <w:r>
        <w:rPr>
          <w:rFonts w:hint="eastAsia"/>
        </w:rPr>
        <w:t>选题</w:t>
      </w:r>
      <w:r>
        <w:rPr>
          <w:szCs w:val="32"/>
        </w:rPr>
        <w:t>经</w:t>
      </w:r>
      <w:r>
        <w:rPr>
          <w:rFonts w:hint="eastAsia"/>
          <w:szCs w:val="32"/>
        </w:rPr>
        <w:t>学院</w:t>
      </w:r>
      <w:r>
        <w:rPr>
          <w:rFonts w:hint="eastAsia"/>
          <w:color w:val="000000"/>
          <w:szCs w:val="32"/>
        </w:rPr>
        <w:t>分管教学领导</w:t>
      </w:r>
      <w:r>
        <w:rPr>
          <w:color w:val="000000"/>
          <w:szCs w:val="32"/>
        </w:rPr>
        <w:t>审</w:t>
      </w:r>
      <w:r>
        <w:rPr>
          <w:rFonts w:hint="eastAsia"/>
          <w:color w:val="000000"/>
          <w:szCs w:val="32"/>
        </w:rPr>
        <w:t>核后</w:t>
      </w:r>
      <w:r>
        <w:rPr>
          <w:szCs w:val="32"/>
        </w:rPr>
        <w:t>实施</w:t>
      </w:r>
      <w:r>
        <w:rPr>
          <w:rFonts w:hint="eastAsia"/>
          <w:szCs w:val="32"/>
        </w:rPr>
        <w:t>，</w:t>
      </w:r>
      <w:r>
        <w:rPr>
          <w:bCs/>
          <w:szCs w:val="32"/>
        </w:rPr>
        <w:t>一经确定不可随意更改。确有变更必要的，由学生在</w:t>
      </w:r>
      <w:proofErr w:type="gramStart"/>
      <w:r>
        <w:rPr>
          <w:bCs/>
          <w:szCs w:val="32"/>
        </w:rPr>
        <w:t>毕设系统</w:t>
      </w:r>
      <w:proofErr w:type="gramEnd"/>
      <w:r>
        <w:rPr>
          <w:bCs/>
          <w:szCs w:val="32"/>
        </w:rPr>
        <w:t>提出申请，经</w:t>
      </w:r>
      <w:r>
        <w:rPr>
          <w:rFonts w:hint="eastAsia"/>
          <w:bCs/>
          <w:szCs w:val="32"/>
        </w:rPr>
        <w:t>导师</w:t>
      </w:r>
      <w:r>
        <w:rPr>
          <w:bCs/>
          <w:szCs w:val="32"/>
        </w:rPr>
        <w:t>审核同意后提交学院审核。</w:t>
      </w:r>
    </w:p>
    <w:p w14:paraId="428F19FC" w14:textId="77777777" w:rsidR="00141B58" w:rsidRDefault="00BF70E4">
      <w:pPr>
        <w:ind w:firstLine="643"/>
        <w:rPr>
          <w:color w:val="000000"/>
          <w:szCs w:val="32"/>
        </w:rPr>
      </w:pPr>
      <w:r>
        <w:rPr>
          <w:b/>
          <w:szCs w:val="32"/>
        </w:rPr>
        <w:t>第</w:t>
      </w:r>
      <w:r>
        <w:rPr>
          <w:rFonts w:hint="eastAsia"/>
          <w:b/>
          <w:szCs w:val="32"/>
        </w:rPr>
        <w:t>六</w:t>
      </w:r>
      <w:r>
        <w:rPr>
          <w:b/>
          <w:szCs w:val="32"/>
        </w:rPr>
        <w:t>条</w:t>
      </w:r>
      <w:r>
        <w:rPr>
          <w:b/>
          <w:szCs w:val="32"/>
        </w:rPr>
        <w:t xml:space="preserve"> </w:t>
      </w:r>
      <w:r>
        <w:rPr>
          <w:szCs w:val="32"/>
        </w:rPr>
        <w:t>开题报告主要对毕业论文的研究背景、选题依据、</w:t>
      </w:r>
      <w:r>
        <w:rPr>
          <w:szCs w:val="32"/>
        </w:rPr>
        <w:lastRenderedPageBreak/>
        <w:t>选题的目的与意义、研究思路、研究内容、研究方法和技术路线、研究进度安排等内容进行论证。开题报告应包含文献综述部分。</w:t>
      </w:r>
      <w:r>
        <w:rPr>
          <w:color w:val="000000"/>
        </w:rPr>
        <w:t>开题报告经导师</w:t>
      </w:r>
      <w:r>
        <w:rPr>
          <w:rFonts w:hint="eastAsia"/>
          <w:color w:val="000000"/>
        </w:rPr>
        <w:t>、学院分管教学领导</w:t>
      </w:r>
      <w:r>
        <w:rPr>
          <w:color w:val="000000"/>
        </w:rPr>
        <w:t>审核通过后，方可进入实施阶段</w:t>
      </w:r>
      <w:r>
        <w:rPr>
          <w:rFonts w:hint="eastAsia"/>
          <w:color w:val="000000"/>
        </w:rPr>
        <w:t>。已审批</w:t>
      </w:r>
      <w:r>
        <w:rPr>
          <w:color w:val="000000"/>
        </w:rPr>
        <w:t>通过的开题报告需修改</w:t>
      </w:r>
      <w:r>
        <w:rPr>
          <w:rFonts w:hint="eastAsia"/>
          <w:color w:val="000000"/>
        </w:rPr>
        <w:t>的</w:t>
      </w:r>
      <w:r>
        <w:rPr>
          <w:color w:val="000000"/>
        </w:rPr>
        <w:t>，</w:t>
      </w:r>
      <w:r>
        <w:rPr>
          <w:rFonts w:hint="eastAsia"/>
          <w:color w:val="000000"/>
        </w:rPr>
        <w:t>应</w:t>
      </w:r>
      <w:r>
        <w:rPr>
          <w:color w:val="000000"/>
        </w:rPr>
        <w:t>重新履行</w:t>
      </w:r>
      <w:r>
        <w:rPr>
          <w:rFonts w:hint="eastAsia"/>
          <w:color w:val="000000"/>
        </w:rPr>
        <w:t>审批</w:t>
      </w:r>
      <w:r>
        <w:rPr>
          <w:color w:val="000000"/>
        </w:rPr>
        <w:t>程序</w:t>
      </w:r>
      <w:r>
        <w:rPr>
          <w:rFonts w:hint="eastAsia"/>
          <w:color w:val="000000"/>
        </w:rPr>
        <w:t>。</w:t>
      </w:r>
      <w:r>
        <w:rPr>
          <w:color w:val="000000"/>
          <w:szCs w:val="32"/>
        </w:rPr>
        <w:t xml:space="preserve"> </w:t>
      </w:r>
    </w:p>
    <w:p w14:paraId="486B14A6" w14:textId="77777777" w:rsidR="00141B58" w:rsidRDefault="00BF70E4">
      <w:pPr>
        <w:numPr>
          <w:ilvl w:val="255"/>
          <w:numId w:val="0"/>
        </w:numPr>
        <w:ind w:firstLineChars="200" w:firstLine="626"/>
        <w:rPr>
          <w:color w:val="000000"/>
          <w:szCs w:val="32"/>
        </w:rPr>
      </w:pPr>
      <w:r>
        <w:rPr>
          <w:b/>
          <w:bCs/>
          <w:szCs w:val="32"/>
        </w:rPr>
        <w:t>第</w:t>
      </w:r>
      <w:r>
        <w:rPr>
          <w:rFonts w:hint="eastAsia"/>
          <w:b/>
          <w:bCs/>
          <w:szCs w:val="32"/>
        </w:rPr>
        <w:t>七</w:t>
      </w:r>
      <w:r>
        <w:rPr>
          <w:b/>
          <w:bCs/>
          <w:szCs w:val="32"/>
        </w:rPr>
        <w:t>条</w:t>
      </w:r>
      <w:r>
        <w:rPr>
          <w:szCs w:val="32"/>
        </w:rPr>
        <w:t xml:space="preserve"> </w:t>
      </w:r>
      <w:r>
        <w:rPr>
          <w:szCs w:val="32"/>
        </w:rPr>
        <w:t>学生应按开题计划推进课题研究，主动联系导师汇报研究进展和存在问题。毕业论文开题后至论文评阅前，导师对学生的指导应不少于</w:t>
      </w:r>
      <w:r>
        <w:rPr>
          <w:szCs w:val="32"/>
        </w:rPr>
        <w:t>3</w:t>
      </w:r>
      <w:r>
        <w:rPr>
          <w:szCs w:val="32"/>
        </w:rPr>
        <w:t>次。毕业论文的中期检查工作由导师在每年</w:t>
      </w:r>
      <w:r>
        <w:rPr>
          <w:szCs w:val="32"/>
        </w:rPr>
        <w:t>3</w:t>
      </w:r>
      <w:r>
        <w:rPr>
          <w:szCs w:val="32"/>
        </w:rPr>
        <w:t>月</w:t>
      </w:r>
      <w:r>
        <w:rPr>
          <w:rFonts w:hint="eastAsia"/>
          <w:szCs w:val="32"/>
        </w:rPr>
        <w:t>中</w:t>
      </w:r>
      <w:r>
        <w:rPr>
          <w:szCs w:val="32"/>
        </w:rPr>
        <w:t>旬完成。</w:t>
      </w:r>
    </w:p>
    <w:p w14:paraId="2CD7C4AB" w14:textId="77777777" w:rsidR="00141B58" w:rsidRDefault="00BF70E4">
      <w:pPr>
        <w:numPr>
          <w:ilvl w:val="255"/>
          <w:numId w:val="0"/>
        </w:numPr>
        <w:ind w:firstLineChars="200" w:firstLine="626"/>
        <w:rPr>
          <w:szCs w:val="32"/>
        </w:rPr>
      </w:pPr>
      <w:r>
        <w:rPr>
          <w:b/>
          <w:szCs w:val="32"/>
        </w:rPr>
        <w:t>第</w:t>
      </w:r>
      <w:r>
        <w:rPr>
          <w:rFonts w:hint="eastAsia"/>
          <w:b/>
          <w:szCs w:val="32"/>
        </w:rPr>
        <w:t>八</w:t>
      </w:r>
      <w:r>
        <w:rPr>
          <w:b/>
          <w:szCs w:val="32"/>
        </w:rPr>
        <w:t>条</w:t>
      </w:r>
      <w:r>
        <w:rPr>
          <w:szCs w:val="32"/>
        </w:rPr>
        <w:t xml:space="preserve"> </w:t>
      </w:r>
      <w:r>
        <w:rPr>
          <w:szCs w:val="32"/>
        </w:rPr>
        <w:t>毕业论文</w:t>
      </w:r>
      <w:r>
        <w:rPr>
          <w:rFonts w:hint="eastAsia"/>
          <w:szCs w:val="32"/>
        </w:rPr>
        <w:t>应</w:t>
      </w:r>
      <w:r>
        <w:rPr>
          <w:szCs w:val="32"/>
        </w:rPr>
        <w:t>论点突出，论据充分，论证严密，数据翔实，结论合理，层次分明，图表清晰，格式规范，文字通顺</w:t>
      </w:r>
      <w:r>
        <w:rPr>
          <w:rFonts w:hint="eastAsia"/>
          <w:szCs w:val="32"/>
        </w:rPr>
        <w:t>，</w:t>
      </w:r>
      <w:r>
        <w:rPr>
          <w:szCs w:val="32"/>
        </w:rPr>
        <w:t>需要包含实验数据、问卷调研、社会调研或文献调研等实质性工作内容。论文正文部分一般不少于</w:t>
      </w:r>
      <w:r>
        <w:rPr>
          <w:color w:val="000000"/>
          <w:szCs w:val="32"/>
        </w:rPr>
        <w:t>8000</w:t>
      </w:r>
      <w:r>
        <w:rPr>
          <w:szCs w:val="32"/>
        </w:rPr>
        <w:t xml:space="preserve"> </w:t>
      </w:r>
      <w:r>
        <w:rPr>
          <w:szCs w:val="32"/>
        </w:rPr>
        <w:t>字</w:t>
      </w:r>
      <w:r>
        <w:rPr>
          <w:rFonts w:hint="eastAsia"/>
          <w:szCs w:val="32"/>
        </w:rPr>
        <w:t>，</w:t>
      </w:r>
      <w:r>
        <w:rPr>
          <w:szCs w:val="32"/>
        </w:rPr>
        <w:t>格式参照《中山大学本科毕业论文（设计）写作与印制规范》执行。</w:t>
      </w:r>
    </w:p>
    <w:p w14:paraId="031EBC43" w14:textId="77777777" w:rsidR="00141B58" w:rsidRDefault="00BF70E4">
      <w:pPr>
        <w:ind w:firstLine="643"/>
        <w:rPr>
          <w:color w:val="000000"/>
          <w:szCs w:val="32"/>
        </w:rPr>
      </w:pPr>
      <w:r>
        <w:rPr>
          <w:b/>
          <w:szCs w:val="32"/>
        </w:rPr>
        <w:t>第</w:t>
      </w:r>
      <w:r>
        <w:rPr>
          <w:rFonts w:hint="eastAsia"/>
          <w:b/>
          <w:szCs w:val="32"/>
        </w:rPr>
        <w:t>九</w:t>
      </w:r>
      <w:r>
        <w:rPr>
          <w:b/>
          <w:szCs w:val="32"/>
        </w:rPr>
        <w:t>条</w:t>
      </w:r>
      <w:r>
        <w:rPr>
          <w:szCs w:val="32"/>
        </w:rPr>
        <w:t xml:space="preserve"> </w:t>
      </w:r>
      <w:r>
        <w:rPr>
          <w:szCs w:val="32"/>
        </w:rPr>
        <w:t>毕业论文</w:t>
      </w:r>
      <w:r>
        <w:rPr>
          <w:rFonts w:hint="eastAsia"/>
          <w:szCs w:val="32"/>
        </w:rPr>
        <w:t>在答辩前必须通过重合率检测</w:t>
      </w:r>
      <w:r>
        <w:rPr>
          <w:szCs w:val="32"/>
        </w:rPr>
        <w:t>。</w:t>
      </w:r>
      <w:proofErr w:type="gramStart"/>
      <w:r>
        <w:rPr>
          <w:szCs w:val="32"/>
        </w:rPr>
        <w:t>查重率</w:t>
      </w:r>
      <w:proofErr w:type="gramEnd"/>
      <w:r>
        <w:rPr>
          <w:szCs w:val="32"/>
        </w:rPr>
        <w:t>高于</w:t>
      </w:r>
      <w:r>
        <w:rPr>
          <w:color w:val="000000"/>
          <w:szCs w:val="32"/>
        </w:rPr>
        <w:t>20%</w:t>
      </w:r>
      <w:r>
        <w:rPr>
          <w:szCs w:val="32"/>
        </w:rPr>
        <w:t>的，学生应在导师指导下修改论文重新提交、检测</w:t>
      </w:r>
      <w:r>
        <w:rPr>
          <w:rFonts w:hint="eastAsia"/>
          <w:szCs w:val="32"/>
        </w:rPr>
        <w:t>；</w:t>
      </w:r>
      <w:proofErr w:type="gramStart"/>
      <w:r>
        <w:rPr>
          <w:szCs w:val="32"/>
        </w:rPr>
        <w:t>再次查重超过</w:t>
      </w:r>
      <w:proofErr w:type="gramEnd"/>
      <w:r>
        <w:rPr>
          <w:color w:val="000000"/>
          <w:szCs w:val="32"/>
        </w:rPr>
        <w:t>20%</w:t>
      </w:r>
      <w:r>
        <w:rPr>
          <w:szCs w:val="32"/>
        </w:rPr>
        <w:t>的，应重新开展论文相关工作，延期</w:t>
      </w:r>
      <w:r>
        <w:rPr>
          <w:rFonts w:hint="eastAsia"/>
          <w:szCs w:val="32"/>
        </w:rPr>
        <w:t>答辩</w:t>
      </w:r>
      <w:r>
        <w:rPr>
          <w:szCs w:val="32"/>
        </w:rPr>
        <w:t>。论文重合率低于</w:t>
      </w:r>
      <w:r>
        <w:rPr>
          <w:color w:val="000000"/>
          <w:szCs w:val="32"/>
        </w:rPr>
        <w:t>20%</w:t>
      </w:r>
      <w:r>
        <w:rPr>
          <w:rFonts w:hint="eastAsia"/>
          <w:szCs w:val="32"/>
        </w:rPr>
        <w:t>后</w:t>
      </w:r>
      <w:r>
        <w:rPr>
          <w:szCs w:val="32"/>
        </w:rPr>
        <w:t>，</w:t>
      </w:r>
      <w:r>
        <w:rPr>
          <w:rFonts w:hint="eastAsia"/>
          <w:szCs w:val="32"/>
        </w:rPr>
        <w:t>可进行答辩资格审核</w:t>
      </w:r>
      <w:r>
        <w:rPr>
          <w:szCs w:val="32"/>
        </w:rPr>
        <w:t>。</w:t>
      </w:r>
    </w:p>
    <w:p w14:paraId="458D3A36" w14:textId="77777777" w:rsidR="00141B58" w:rsidRDefault="00BF70E4">
      <w:pPr>
        <w:numPr>
          <w:ilvl w:val="255"/>
          <w:numId w:val="0"/>
        </w:numPr>
        <w:ind w:firstLineChars="200" w:firstLine="626"/>
        <w:rPr>
          <w:kern w:val="0"/>
          <w:szCs w:val="32"/>
        </w:rPr>
      </w:pPr>
      <w:r>
        <w:rPr>
          <w:b/>
          <w:bCs/>
          <w:szCs w:val="32"/>
        </w:rPr>
        <w:t>第十条</w:t>
      </w:r>
      <w:r>
        <w:rPr>
          <w:szCs w:val="32"/>
        </w:rPr>
        <w:t xml:space="preserve"> </w:t>
      </w:r>
      <w:r>
        <w:rPr>
          <w:rFonts w:hint="eastAsia"/>
          <w:kern w:val="0"/>
          <w:szCs w:val="32"/>
        </w:rPr>
        <w:t>毕业论文经导师、院系分管教学领导及二级党组织审核通过后，方可进入答辩。</w:t>
      </w:r>
      <w:r>
        <w:rPr>
          <w:kern w:val="0"/>
          <w:szCs w:val="32"/>
        </w:rPr>
        <w:t>具体评阅标准如下：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5518"/>
        <w:gridCol w:w="2347"/>
      </w:tblGrid>
      <w:tr w:rsidR="00141B58" w14:paraId="095B4E9A" w14:textId="77777777">
        <w:trPr>
          <w:tblHeader/>
          <w:jc w:val="center"/>
        </w:trPr>
        <w:tc>
          <w:tcPr>
            <w:tcW w:w="867" w:type="dxa"/>
            <w:shd w:val="clear" w:color="auto" w:fill="auto"/>
          </w:tcPr>
          <w:p w14:paraId="105CF00F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5676" w:type="dxa"/>
            <w:shd w:val="clear" w:color="auto" w:fill="auto"/>
          </w:tcPr>
          <w:p w14:paraId="770B540D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</w:rPr>
              <w:t>评分点</w:t>
            </w:r>
          </w:p>
        </w:tc>
        <w:tc>
          <w:tcPr>
            <w:tcW w:w="2403" w:type="dxa"/>
            <w:shd w:val="clear" w:color="auto" w:fill="auto"/>
          </w:tcPr>
          <w:p w14:paraId="62F645E0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</w:rPr>
              <w:t>权重</w:t>
            </w:r>
            <w:r>
              <w:rPr>
                <w:b/>
                <w:bCs/>
                <w:kern w:val="0"/>
                <w:sz w:val="28"/>
                <w:szCs w:val="28"/>
              </w:rPr>
              <w:t>/%</w:t>
            </w:r>
          </w:p>
        </w:tc>
      </w:tr>
      <w:tr w:rsidR="00141B58" w14:paraId="65D058AA" w14:textId="77777777">
        <w:trPr>
          <w:jc w:val="center"/>
        </w:trPr>
        <w:tc>
          <w:tcPr>
            <w:tcW w:w="867" w:type="dxa"/>
            <w:shd w:val="clear" w:color="auto" w:fill="auto"/>
          </w:tcPr>
          <w:p w14:paraId="17F28FA0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</w:t>
            </w:r>
          </w:p>
        </w:tc>
        <w:tc>
          <w:tcPr>
            <w:tcW w:w="5676" w:type="dxa"/>
            <w:shd w:val="clear" w:color="auto" w:fill="auto"/>
          </w:tcPr>
          <w:p w14:paraId="4630020C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论文选题情况</w:t>
            </w:r>
          </w:p>
        </w:tc>
        <w:tc>
          <w:tcPr>
            <w:tcW w:w="2403" w:type="dxa"/>
            <w:shd w:val="clear" w:color="auto" w:fill="auto"/>
          </w:tcPr>
          <w:p w14:paraId="42EA5D4A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15</w:t>
            </w:r>
          </w:p>
        </w:tc>
      </w:tr>
      <w:tr w:rsidR="00141B58" w14:paraId="57FE3527" w14:textId="77777777">
        <w:trPr>
          <w:jc w:val="center"/>
        </w:trPr>
        <w:tc>
          <w:tcPr>
            <w:tcW w:w="867" w:type="dxa"/>
            <w:shd w:val="clear" w:color="auto" w:fill="auto"/>
          </w:tcPr>
          <w:p w14:paraId="55CE5496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2</w:t>
            </w:r>
          </w:p>
        </w:tc>
        <w:tc>
          <w:tcPr>
            <w:tcW w:w="5676" w:type="dxa"/>
            <w:shd w:val="clear" w:color="auto" w:fill="auto"/>
          </w:tcPr>
          <w:p w14:paraId="4029C90A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文献利用分析情况</w:t>
            </w:r>
          </w:p>
        </w:tc>
        <w:tc>
          <w:tcPr>
            <w:tcW w:w="2403" w:type="dxa"/>
            <w:shd w:val="clear" w:color="auto" w:fill="auto"/>
          </w:tcPr>
          <w:p w14:paraId="02E5462D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10</w:t>
            </w:r>
          </w:p>
        </w:tc>
      </w:tr>
      <w:tr w:rsidR="00141B58" w14:paraId="36CB9662" w14:textId="77777777">
        <w:trPr>
          <w:jc w:val="center"/>
        </w:trPr>
        <w:tc>
          <w:tcPr>
            <w:tcW w:w="867" w:type="dxa"/>
            <w:shd w:val="clear" w:color="auto" w:fill="auto"/>
          </w:tcPr>
          <w:p w14:paraId="3E35C135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lastRenderedPageBreak/>
              <w:t>3</w:t>
            </w:r>
          </w:p>
        </w:tc>
        <w:tc>
          <w:tcPr>
            <w:tcW w:w="5676" w:type="dxa"/>
            <w:shd w:val="clear" w:color="auto" w:fill="auto"/>
          </w:tcPr>
          <w:p w14:paraId="477678E6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论文难度及工作量</w:t>
            </w:r>
          </w:p>
        </w:tc>
        <w:tc>
          <w:tcPr>
            <w:tcW w:w="2403" w:type="dxa"/>
            <w:shd w:val="clear" w:color="auto" w:fill="auto"/>
          </w:tcPr>
          <w:p w14:paraId="1A7C7B4C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15</w:t>
            </w:r>
          </w:p>
        </w:tc>
      </w:tr>
      <w:tr w:rsidR="00141B58" w14:paraId="47878614" w14:textId="77777777">
        <w:trPr>
          <w:jc w:val="center"/>
        </w:trPr>
        <w:tc>
          <w:tcPr>
            <w:tcW w:w="867" w:type="dxa"/>
            <w:shd w:val="clear" w:color="auto" w:fill="auto"/>
          </w:tcPr>
          <w:p w14:paraId="600B9792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4</w:t>
            </w:r>
          </w:p>
        </w:tc>
        <w:tc>
          <w:tcPr>
            <w:tcW w:w="5676" w:type="dxa"/>
            <w:shd w:val="clear" w:color="auto" w:fill="auto"/>
          </w:tcPr>
          <w:p w14:paraId="0EB0B3FB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论文的创新性</w:t>
            </w:r>
          </w:p>
        </w:tc>
        <w:tc>
          <w:tcPr>
            <w:tcW w:w="2403" w:type="dxa"/>
            <w:shd w:val="clear" w:color="auto" w:fill="auto"/>
          </w:tcPr>
          <w:p w14:paraId="6F3F343E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</w:t>
            </w:r>
            <w:r>
              <w:rPr>
                <w:rFonts w:hint="eastAsia"/>
                <w:kern w:val="0"/>
                <w:sz w:val="28"/>
                <w:szCs w:val="28"/>
              </w:rPr>
              <w:t>0</w:t>
            </w:r>
          </w:p>
        </w:tc>
      </w:tr>
      <w:tr w:rsidR="00141B58" w14:paraId="33976244" w14:textId="77777777">
        <w:trPr>
          <w:jc w:val="center"/>
        </w:trPr>
        <w:tc>
          <w:tcPr>
            <w:tcW w:w="867" w:type="dxa"/>
            <w:shd w:val="clear" w:color="auto" w:fill="auto"/>
          </w:tcPr>
          <w:p w14:paraId="3D89DACF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5</w:t>
            </w:r>
          </w:p>
        </w:tc>
        <w:tc>
          <w:tcPr>
            <w:tcW w:w="5676" w:type="dxa"/>
            <w:shd w:val="clear" w:color="auto" w:fill="auto"/>
          </w:tcPr>
          <w:p w14:paraId="62D741F1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理论知识基础</w:t>
            </w:r>
          </w:p>
        </w:tc>
        <w:tc>
          <w:tcPr>
            <w:tcW w:w="2403" w:type="dxa"/>
            <w:shd w:val="clear" w:color="auto" w:fill="auto"/>
          </w:tcPr>
          <w:p w14:paraId="1E66CD41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20</w:t>
            </w:r>
          </w:p>
        </w:tc>
      </w:tr>
      <w:tr w:rsidR="00141B58" w14:paraId="25F92462" w14:textId="77777777">
        <w:trPr>
          <w:jc w:val="center"/>
        </w:trPr>
        <w:tc>
          <w:tcPr>
            <w:tcW w:w="867" w:type="dxa"/>
            <w:shd w:val="clear" w:color="auto" w:fill="auto"/>
          </w:tcPr>
          <w:p w14:paraId="6A91C272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  <w:tc>
          <w:tcPr>
            <w:tcW w:w="5676" w:type="dxa"/>
            <w:shd w:val="clear" w:color="auto" w:fill="auto"/>
          </w:tcPr>
          <w:p w14:paraId="63856F3F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科研能力</w:t>
            </w:r>
          </w:p>
        </w:tc>
        <w:tc>
          <w:tcPr>
            <w:tcW w:w="2403" w:type="dxa"/>
            <w:shd w:val="clear" w:color="auto" w:fill="auto"/>
          </w:tcPr>
          <w:p w14:paraId="650AE1F2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10</w:t>
            </w:r>
          </w:p>
        </w:tc>
      </w:tr>
      <w:tr w:rsidR="00141B58" w14:paraId="646A0158" w14:textId="77777777">
        <w:trPr>
          <w:jc w:val="center"/>
        </w:trPr>
        <w:tc>
          <w:tcPr>
            <w:tcW w:w="867" w:type="dxa"/>
            <w:shd w:val="clear" w:color="auto" w:fill="auto"/>
          </w:tcPr>
          <w:p w14:paraId="3B981A93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7</w:t>
            </w:r>
          </w:p>
        </w:tc>
        <w:tc>
          <w:tcPr>
            <w:tcW w:w="5676" w:type="dxa"/>
            <w:shd w:val="clear" w:color="auto" w:fill="auto"/>
          </w:tcPr>
          <w:p w14:paraId="03E76260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论文写作水平</w:t>
            </w:r>
          </w:p>
        </w:tc>
        <w:tc>
          <w:tcPr>
            <w:tcW w:w="2403" w:type="dxa"/>
            <w:shd w:val="clear" w:color="auto" w:fill="auto"/>
          </w:tcPr>
          <w:p w14:paraId="6AE2A4AC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10</w:t>
            </w:r>
          </w:p>
        </w:tc>
      </w:tr>
      <w:tr w:rsidR="00141B58" w14:paraId="5993410C" w14:textId="77777777">
        <w:trPr>
          <w:jc w:val="center"/>
        </w:trPr>
        <w:tc>
          <w:tcPr>
            <w:tcW w:w="867" w:type="dxa"/>
            <w:shd w:val="clear" w:color="auto" w:fill="auto"/>
          </w:tcPr>
          <w:p w14:paraId="2FB4F853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8</w:t>
            </w:r>
          </w:p>
        </w:tc>
        <w:tc>
          <w:tcPr>
            <w:tcW w:w="5676" w:type="dxa"/>
            <w:shd w:val="clear" w:color="auto" w:fill="auto"/>
          </w:tcPr>
          <w:p w14:paraId="1AE611D3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论文规范情况</w:t>
            </w:r>
          </w:p>
        </w:tc>
        <w:tc>
          <w:tcPr>
            <w:tcW w:w="2403" w:type="dxa"/>
            <w:shd w:val="clear" w:color="auto" w:fill="auto"/>
          </w:tcPr>
          <w:p w14:paraId="20053B8D" w14:textId="77777777" w:rsidR="00141B58" w:rsidRDefault="00BF70E4">
            <w:pPr>
              <w:numPr>
                <w:ilvl w:val="255"/>
                <w:numId w:val="0"/>
              </w:numPr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10</w:t>
            </w:r>
          </w:p>
        </w:tc>
      </w:tr>
    </w:tbl>
    <w:p w14:paraId="3259E31C" w14:textId="77777777" w:rsidR="00141B58" w:rsidRDefault="00BF70E4">
      <w:pPr>
        <w:spacing w:line="560" w:lineRule="exact"/>
        <w:ind w:firstLine="643"/>
        <w:rPr>
          <w:snapToGrid w:val="0"/>
          <w:color w:val="000000"/>
          <w:kern w:val="0"/>
          <w:szCs w:val="32"/>
        </w:rPr>
      </w:pPr>
      <w:r>
        <w:rPr>
          <w:b/>
          <w:bCs/>
          <w:color w:val="000000"/>
          <w:kern w:val="0"/>
          <w:szCs w:val="32"/>
        </w:rPr>
        <w:t>第十</w:t>
      </w:r>
      <w:r>
        <w:rPr>
          <w:rFonts w:hint="eastAsia"/>
          <w:b/>
          <w:bCs/>
          <w:color w:val="000000"/>
          <w:kern w:val="0"/>
          <w:szCs w:val="32"/>
        </w:rPr>
        <w:t>一</w:t>
      </w:r>
      <w:r>
        <w:rPr>
          <w:b/>
          <w:bCs/>
          <w:color w:val="000000"/>
          <w:kern w:val="0"/>
          <w:szCs w:val="32"/>
        </w:rPr>
        <w:t>条</w:t>
      </w:r>
      <w:r>
        <w:rPr>
          <w:rFonts w:hint="eastAsia"/>
          <w:color w:val="000000"/>
          <w:kern w:val="0"/>
          <w:szCs w:val="32"/>
        </w:rPr>
        <w:t xml:space="preserve"> </w:t>
      </w:r>
      <w:r>
        <w:rPr>
          <w:snapToGrid w:val="0"/>
          <w:color w:val="000000"/>
          <w:kern w:val="0"/>
          <w:szCs w:val="32"/>
        </w:rPr>
        <w:t>除导师评阅论文外，学院在论文答辩前组织各教研室</w:t>
      </w:r>
      <w:r>
        <w:rPr>
          <w:rFonts w:hint="eastAsia"/>
          <w:snapToGrid w:val="0"/>
          <w:color w:val="000000"/>
          <w:kern w:val="0"/>
          <w:szCs w:val="32"/>
        </w:rPr>
        <w:t>主任按照当届</w:t>
      </w:r>
      <w:proofErr w:type="gramStart"/>
      <w:r>
        <w:rPr>
          <w:rFonts w:hint="eastAsia"/>
          <w:snapToGrid w:val="0"/>
          <w:color w:val="000000"/>
          <w:kern w:val="0"/>
          <w:szCs w:val="32"/>
        </w:rPr>
        <w:t>毕设系统</w:t>
      </w:r>
      <w:proofErr w:type="gramEnd"/>
      <w:r>
        <w:rPr>
          <w:rFonts w:hint="eastAsia"/>
          <w:snapToGrid w:val="0"/>
          <w:color w:val="000000"/>
          <w:kern w:val="0"/>
          <w:szCs w:val="32"/>
        </w:rPr>
        <w:t>论文提交数</w:t>
      </w:r>
      <w:r>
        <w:rPr>
          <w:rFonts w:hint="eastAsia"/>
          <w:snapToGrid w:val="0"/>
          <w:color w:val="000000"/>
          <w:kern w:val="0"/>
          <w:szCs w:val="32"/>
        </w:rPr>
        <w:t>1</w:t>
      </w:r>
      <w:r>
        <w:rPr>
          <w:snapToGrid w:val="0"/>
          <w:color w:val="000000"/>
          <w:kern w:val="0"/>
          <w:szCs w:val="32"/>
        </w:rPr>
        <w:t>0%</w:t>
      </w:r>
      <w:r>
        <w:rPr>
          <w:rFonts w:hint="eastAsia"/>
          <w:snapToGrid w:val="0"/>
          <w:color w:val="000000"/>
          <w:kern w:val="0"/>
          <w:szCs w:val="32"/>
        </w:rPr>
        <w:t>的比例</w:t>
      </w:r>
      <w:r>
        <w:rPr>
          <w:snapToGrid w:val="0"/>
          <w:color w:val="000000"/>
          <w:kern w:val="0"/>
          <w:szCs w:val="32"/>
        </w:rPr>
        <w:t>开展论文</w:t>
      </w:r>
      <w:r>
        <w:rPr>
          <w:rFonts w:hint="eastAsia"/>
          <w:snapToGrid w:val="0"/>
          <w:color w:val="000000"/>
          <w:kern w:val="0"/>
          <w:szCs w:val="32"/>
        </w:rPr>
        <w:t>抽</w:t>
      </w:r>
      <w:r>
        <w:rPr>
          <w:snapToGrid w:val="0"/>
          <w:color w:val="000000"/>
          <w:kern w:val="0"/>
          <w:szCs w:val="32"/>
        </w:rPr>
        <w:t>查工作</w:t>
      </w:r>
      <w:r>
        <w:rPr>
          <w:rFonts w:hint="eastAsia"/>
          <w:snapToGrid w:val="0"/>
          <w:color w:val="000000"/>
          <w:kern w:val="0"/>
          <w:szCs w:val="32"/>
        </w:rPr>
        <w:t>，对抽查不合格者，学院将根据实际情况做出责令修改论文、延迟答辩等处理。</w:t>
      </w:r>
    </w:p>
    <w:p w14:paraId="1D0433FB" w14:textId="77777777" w:rsidR="00141B58" w:rsidRDefault="00BF70E4">
      <w:pPr>
        <w:ind w:firstLine="643"/>
        <w:rPr>
          <w:szCs w:val="32"/>
        </w:rPr>
      </w:pPr>
      <w:r>
        <w:rPr>
          <w:b/>
          <w:bCs/>
          <w:szCs w:val="32"/>
        </w:rPr>
        <w:t>第十</w:t>
      </w:r>
      <w:r>
        <w:rPr>
          <w:rFonts w:hint="eastAsia"/>
          <w:b/>
          <w:bCs/>
          <w:szCs w:val="32"/>
        </w:rPr>
        <w:t>二</w:t>
      </w:r>
      <w:r>
        <w:rPr>
          <w:b/>
          <w:bCs/>
          <w:szCs w:val="32"/>
        </w:rPr>
        <w:t>条</w:t>
      </w:r>
      <w:r>
        <w:rPr>
          <w:szCs w:val="32"/>
        </w:rPr>
        <w:t xml:space="preserve"> </w:t>
      </w:r>
      <w:r>
        <w:rPr>
          <w:szCs w:val="32"/>
        </w:rPr>
        <w:t>答辩以公开方式进行</w:t>
      </w:r>
      <w:r>
        <w:rPr>
          <w:rFonts w:hint="eastAsia"/>
          <w:szCs w:val="32"/>
        </w:rPr>
        <w:t>。答辩委员会成员应具有毕业论文指导资格，人数不少于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人。导师不能担任所指导学生的答辩委员。</w:t>
      </w:r>
      <w:r>
        <w:t>每名学生答辩时间</w:t>
      </w:r>
      <w:r>
        <w:rPr>
          <w:rFonts w:hint="eastAsia"/>
        </w:rPr>
        <w:t>一般</w:t>
      </w:r>
      <w:r>
        <w:t>控制在</w:t>
      </w:r>
      <w:r>
        <w:t>10-15</w:t>
      </w:r>
      <w:r>
        <w:t>分钟，</w:t>
      </w:r>
      <w:r>
        <w:rPr>
          <w:szCs w:val="32"/>
        </w:rPr>
        <w:t>答辩过程和评价意见须有书面记录，并由答辩委员会全体成员签名确认。毕业论文应提前送至答辩委员处，保证答辩委员有充足的时间审阅论文。</w:t>
      </w:r>
    </w:p>
    <w:p w14:paraId="792C4327" w14:textId="77777777" w:rsidR="00141B58" w:rsidRDefault="00BF70E4">
      <w:pPr>
        <w:ind w:firstLine="643"/>
        <w:rPr>
          <w:color w:val="FF0000"/>
          <w:szCs w:val="32"/>
        </w:rPr>
      </w:pPr>
      <w:r>
        <w:rPr>
          <w:b/>
          <w:bCs/>
          <w:color w:val="000000"/>
          <w:kern w:val="0"/>
          <w:szCs w:val="32"/>
        </w:rPr>
        <w:t>第十</w:t>
      </w:r>
      <w:r>
        <w:rPr>
          <w:rFonts w:hint="eastAsia"/>
          <w:b/>
          <w:bCs/>
          <w:color w:val="000000"/>
          <w:kern w:val="0"/>
          <w:szCs w:val="32"/>
        </w:rPr>
        <w:t>三</w:t>
      </w:r>
      <w:r>
        <w:rPr>
          <w:b/>
          <w:bCs/>
          <w:color w:val="000000"/>
          <w:kern w:val="0"/>
          <w:szCs w:val="32"/>
        </w:rPr>
        <w:t>条</w:t>
      </w:r>
      <w:r>
        <w:rPr>
          <w:color w:val="000000"/>
          <w:kern w:val="0"/>
          <w:szCs w:val="32"/>
        </w:rPr>
        <w:t xml:space="preserve"> </w:t>
      </w:r>
      <w:r>
        <w:rPr>
          <w:color w:val="000000"/>
          <w:kern w:val="0"/>
          <w:szCs w:val="32"/>
        </w:rPr>
        <w:t>答辩成绩采用百分制，</w:t>
      </w:r>
      <w:r>
        <w:rPr>
          <w:color w:val="000000"/>
          <w:szCs w:val="32"/>
        </w:rPr>
        <w:t>对答辩委员会全体成员的打分取平均值</w:t>
      </w:r>
      <w:r>
        <w:rPr>
          <w:rFonts w:hint="eastAsia"/>
          <w:color w:val="000000"/>
          <w:szCs w:val="32"/>
        </w:rPr>
        <w:t>（保留</w:t>
      </w:r>
      <w:r>
        <w:rPr>
          <w:rFonts w:hint="eastAsia"/>
          <w:color w:val="000000"/>
          <w:szCs w:val="32"/>
        </w:rPr>
        <w:t>1</w:t>
      </w:r>
      <w:r>
        <w:rPr>
          <w:rFonts w:hint="eastAsia"/>
          <w:color w:val="000000"/>
          <w:szCs w:val="32"/>
        </w:rPr>
        <w:t>位小数）</w:t>
      </w:r>
      <w:r>
        <w:rPr>
          <w:color w:val="000000"/>
          <w:szCs w:val="32"/>
        </w:rPr>
        <w:t>作为学生的答辩成绩。答辩成绩评定标准具体如下：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6076"/>
        <w:gridCol w:w="1499"/>
      </w:tblGrid>
      <w:tr w:rsidR="00141B58" w14:paraId="5BE41FE5" w14:textId="77777777">
        <w:trPr>
          <w:tblHeader/>
          <w:jc w:val="center"/>
        </w:trPr>
        <w:tc>
          <w:tcPr>
            <w:tcW w:w="934" w:type="dxa"/>
            <w:shd w:val="clear" w:color="auto" w:fill="auto"/>
          </w:tcPr>
          <w:p w14:paraId="65E2E794" w14:textId="77777777" w:rsidR="00141B58" w:rsidRDefault="00BF70E4">
            <w:pPr>
              <w:jc w:val="center"/>
              <w:rPr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6076" w:type="dxa"/>
            <w:shd w:val="clear" w:color="auto" w:fill="auto"/>
          </w:tcPr>
          <w:p w14:paraId="0B49B126" w14:textId="77777777" w:rsidR="00141B58" w:rsidRDefault="00BF70E4">
            <w:pPr>
              <w:jc w:val="center"/>
              <w:rPr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/>
                <w:bCs/>
                <w:color w:val="000000"/>
                <w:kern w:val="0"/>
                <w:sz w:val="28"/>
                <w:szCs w:val="28"/>
              </w:rPr>
              <w:t>答辩考核点</w:t>
            </w:r>
          </w:p>
        </w:tc>
        <w:tc>
          <w:tcPr>
            <w:tcW w:w="1499" w:type="dxa"/>
            <w:shd w:val="clear" w:color="auto" w:fill="auto"/>
          </w:tcPr>
          <w:p w14:paraId="2183B8FB" w14:textId="77777777" w:rsidR="00141B58" w:rsidRDefault="00BF70E4">
            <w:pPr>
              <w:jc w:val="center"/>
              <w:rPr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/>
                <w:bCs/>
                <w:color w:val="000000"/>
                <w:kern w:val="0"/>
                <w:sz w:val="28"/>
                <w:szCs w:val="28"/>
              </w:rPr>
              <w:t>权重</w:t>
            </w:r>
          </w:p>
        </w:tc>
      </w:tr>
      <w:tr w:rsidR="00141B58" w14:paraId="66A246CE" w14:textId="77777777">
        <w:trPr>
          <w:jc w:val="center"/>
        </w:trPr>
        <w:tc>
          <w:tcPr>
            <w:tcW w:w="934" w:type="dxa"/>
            <w:shd w:val="clear" w:color="auto" w:fill="auto"/>
            <w:vAlign w:val="center"/>
          </w:tcPr>
          <w:p w14:paraId="49C1A8C6" w14:textId="77777777" w:rsidR="00141B58" w:rsidRDefault="00BF70E4">
            <w:pPr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076" w:type="dxa"/>
            <w:shd w:val="clear" w:color="auto" w:fill="auto"/>
            <w:vAlign w:val="center"/>
          </w:tcPr>
          <w:p w14:paraId="767B20DB" w14:textId="77777777" w:rsidR="00141B58" w:rsidRDefault="00BF70E4">
            <w:pPr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学生阐述论文内容情况（能否充分表达主要思</w:t>
            </w:r>
            <w:r>
              <w:rPr>
                <w:color w:val="000000"/>
                <w:kern w:val="0"/>
                <w:sz w:val="28"/>
                <w:szCs w:val="28"/>
              </w:rPr>
              <w:lastRenderedPageBreak/>
              <w:t>想、目的意义、方法结论、对参考文献是否熟悉等）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E8A4C1B" w14:textId="77777777" w:rsidR="00141B58" w:rsidRDefault="00BF70E4">
            <w:pPr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lastRenderedPageBreak/>
              <w:t>50%</w:t>
            </w:r>
          </w:p>
        </w:tc>
      </w:tr>
      <w:tr w:rsidR="00141B58" w14:paraId="4B51164D" w14:textId="77777777">
        <w:trPr>
          <w:jc w:val="center"/>
        </w:trPr>
        <w:tc>
          <w:tcPr>
            <w:tcW w:w="934" w:type="dxa"/>
            <w:shd w:val="clear" w:color="auto" w:fill="auto"/>
            <w:vAlign w:val="center"/>
          </w:tcPr>
          <w:p w14:paraId="441A275C" w14:textId="77777777" w:rsidR="00141B58" w:rsidRDefault="00BF70E4">
            <w:pPr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076" w:type="dxa"/>
            <w:shd w:val="clear" w:color="auto" w:fill="auto"/>
            <w:vAlign w:val="center"/>
          </w:tcPr>
          <w:p w14:paraId="3A433084" w14:textId="77777777" w:rsidR="00141B58" w:rsidRDefault="00BF70E4">
            <w:pPr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学生回答评委提问的情况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AD6F544" w14:textId="77777777" w:rsidR="00141B58" w:rsidRDefault="00BF70E4">
            <w:pPr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40%</w:t>
            </w:r>
          </w:p>
        </w:tc>
      </w:tr>
      <w:tr w:rsidR="00141B58" w14:paraId="4E854D80" w14:textId="77777777">
        <w:trPr>
          <w:jc w:val="center"/>
        </w:trPr>
        <w:tc>
          <w:tcPr>
            <w:tcW w:w="934" w:type="dxa"/>
            <w:shd w:val="clear" w:color="auto" w:fill="auto"/>
            <w:vAlign w:val="center"/>
          </w:tcPr>
          <w:p w14:paraId="01170168" w14:textId="77777777" w:rsidR="00141B58" w:rsidRDefault="00BF70E4">
            <w:pPr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6076" w:type="dxa"/>
            <w:shd w:val="clear" w:color="auto" w:fill="auto"/>
            <w:vAlign w:val="center"/>
          </w:tcPr>
          <w:p w14:paraId="4F352A98" w14:textId="77777777" w:rsidR="00141B58" w:rsidRDefault="00BF70E4">
            <w:pPr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学生现场表现情况（包括表达是否流畅、态度是否端正、着装是否得体等）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D9F12BC" w14:textId="77777777" w:rsidR="00141B58" w:rsidRDefault="00BF70E4">
            <w:pPr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10%</w:t>
            </w:r>
          </w:p>
        </w:tc>
      </w:tr>
    </w:tbl>
    <w:p w14:paraId="018EBB18" w14:textId="77777777" w:rsidR="00141B58" w:rsidRDefault="00BF70E4">
      <w:pPr>
        <w:spacing w:beforeLines="50" w:before="288"/>
        <w:ind w:hanging="720"/>
        <w:rPr>
          <w:kern w:val="0"/>
          <w:szCs w:val="32"/>
        </w:rPr>
      </w:pPr>
      <w:r>
        <w:rPr>
          <w:rFonts w:hint="eastAsia"/>
          <w:b/>
          <w:bCs/>
          <w:szCs w:val="32"/>
        </w:rPr>
        <w:t xml:space="preserve"> </w:t>
      </w:r>
      <w:r>
        <w:rPr>
          <w:b/>
          <w:bCs/>
          <w:szCs w:val="32"/>
        </w:rPr>
        <w:t xml:space="preserve">       </w:t>
      </w:r>
      <w:r>
        <w:rPr>
          <w:b/>
          <w:bCs/>
          <w:szCs w:val="32"/>
        </w:rPr>
        <w:t>第十</w:t>
      </w:r>
      <w:r>
        <w:rPr>
          <w:rFonts w:hint="eastAsia"/>
          <w:b/>
          <w:bCs/>
          <w:szCs w:val="32"/>
        </w:rPr>
        <w:t>四</w:t>
      </w:r>
      <w:r>
        <w:rPr>
          <w:b/>
          <w:bCs/>
          <w:szCs w:val="32"/>
        </w:rPr>
        <w:t>条</w:t>
      </w:r>
      <w:r>
        <w:rPr>
          <w:rFonts w:eastAsia="黑体" w:cs="黑体"/>
          <w:bCs/>
          <w:kern w:val="0"/>
          <w:szCs w:val="32"/>
        </w:rPr>
        <w:t xml:space="preserve"> </w:t>
      </w:r>
      <w:r>
        <w:rPr>
          <w:kern w:val="0"/>
          <w:szCs w:val="32"/>
        </w:rPr>
        <w:t>总评成绩由导师评阅成绩（</w:t>
      </w:r>
      <w:r>
        <w:rPr>
          <w:kern w:val="0"/>
          <w:szCs w:val="32"/>
        </w:rPr>
        <w:t>60%</w:t>
      </w:r>
      <w:r>
        <w:rPr>
          <w:kern w:val="0"/>
          <w:szCs w:val="32"/>
        </w:rPr>
        <w:t>）和答辩成绩（</w:t>
      </w:r>
      <w:r>
        <w:rPr>
          <w:kern w:val="0"/>
          <w:szCs w:val="32"/>
        </w:rPr>
        <w:t>40%</w:t>
      </w:r>
      <w:r>
        <w:rPr>
          <w:kern w:val="0"/>
          <w:szCs w:val="32"/>
        </w:rPr>
        <w:t>）两部分组成。未获得答辩资格或答辩成绩不及格</w:t>
      </w:r>
      <w:r>
        <w:rPr>
          <w:rFonts w:hint="eastAsia"/>
          <w:szCs w:val="32"/>
        </w:rPr>
        <w:t>（低于</w:t>
      </w:r>
      <w:r>
        <w:rPr>
          <w:rFonts w:hint="eastAsia"/>
          <w:szCs w:val="32"/>
        </w:rPr>
        <w:t>60</w:t>
      </w:r>
      <w:r>
        <w:rPr>
          <w:rFonts w:hint="eastAsia"/>
          <w:szCs w:val="32"/>
        </w:rPr>
        <w:t>分）</w:t>
      </w:r>
      <w:r>
        <w:rPr>
          <w:kern w:val="0"/>
          <w:szCs w:val="32"/>
        </w:rPr>
        <w:t>者，毕业论文</w:t>
      </w:r>
      <w:r>
        <w:rPr>
          <w:rFonts w:hint="eastAsia"/>
          <w:kern w:val="0"/>
          <w:szCs w:val="32"/>
        </w:rPr>
        <w:t>成</w:t>
      </w:r>
      <w:r>
        <w:rPr>
          <w:kern w:val="0"/>
          <w:szCs w:val="32"/>
        </w:rPr>
        <w:t>绩一律以不及格计。</w:t>
      </w:r>
    </w:p>
    <w:p w14:paraId="2C3C3E17" w14:textId="77777777" w:rsidR="00141B58" w:rsidRDefault="00BF70E4">
      <w:pPr>
        <w:ind w:firstLine="640"/>
        <w:rPr>
          <w:szCs w:val="32"/>
        </w:rPr>
      </w:pPr>
      <w:r>
        <w:rPr>
          <w:szCs w:val="32"/>
        </w:rPr>
        <w:t>学生对答辩资格或毕业论文成绩存在异议时，可在收到通知后</w:t>
      </w:r>
      <w:r>
        <w:rPr>
          <w:szCs w:val="32"/>
        </w:rPr>
        <w:t>7</w:t>
      </w:r>
      <w:r>
        <w:rPr>
          <w:szCs w:val="32"/>
        </w:rPr>
        <w:t>日内向学院本科教育与学位专门委员会提交书面复议申请书，逾期不予受理。本科教育与学位专门委员会接到复议申请书后须及时向导师、答辩委员会主席及成员等了解情况，对学生答辩资格或毕业论文成绩进行重新评定。</w:t>
      </w:r>
    </w:p>
    <w:p w14:paraId="1C2DA00A" w14:textId="77777777" w:rsidR="00141B58" w:rsidRDefault="00BF70E4">
      <w:pPr>
        <w:ind w:firstLine="643"/>
        <w:rPr>
          <w:szCs w:val="32"/>
        </w:rPr>
      </w:pPr>
      <w:r>
        <w:rPr>
          <w:b/>
          <w:bCs/>
          <w:szCs w:val="32"/>
        </w:rPr>
        <w:t>第十</w:t>
      </w:r>
      <w:r>
        <w:rPr>
          <w:rFonts w:hint="eastAsia"/>
          <w:b/>
          <w:bCs/>
          <w:szCs w:val="32"/>
        </w:rPr>
        <w:t>五</w:t>
      </w:r>
      <w:r>
        <w:rPr>
          <w:b/>
          <w:bCs/>
          <w:szCs w:val="32"/>
        </w:rPr>
        <w:t>条</w:t>
      </w:r>
      <w:r>
        <w:rPr>
          <w:szCs w:val="32"/>
        </w:rPr>
        <w:t xml:space="preserve"> </w:t>
      </w:r>
      <w:r>
        <w:rPr>
          <w:szCs w:val="32"/>
        </w:rPr>
        <w:t>毕业论文采用优秀、良好、中等、及格、不及格五级记分法。其中优秀即</w:t>
      </w:r>
      <w:r>
        <w:rPr>
          <w:szCs w:val="32"/>
        </w:rPr>
        <w:t>100-90</w:t>
      </w:r>
      <w:r>
        <w:rPr>
          <w:szCs w:val="32"/>
        </w:rPr>
        <w:t>分，良好即</w:t>
      </w:r>
      <w:r>
        <w:rPr>
          <w:szCs w:val="32"/>
        </w:rPr>
        <w:t>89-80</w:t>
      </w:r>
      <w:r>
        <w:rPr>
          <w:szCs w:val="32"/>
        </w:rPr>
        <w:t>分，中等即</w:t>
      </w:r>
      <w:r>
        <w:rPr>
          <w:szCs w:val="32"/>
        </w:rPr>
        <w:t>79-70</w:t>
      </w:r>
      <w:r>
        <w:rPr>
          <w:szCs w:val="32"/>
        </w:rPr>
        <w:t>分，及格即</w:t>
      </w:r>
      <w:r>
        <w:rPr>
          <w:szCs w:val="32"/>
        </w:rPr>
        <w:t>69-60</w:t>
      </w:r>
      <w:r>
        <w:rPr>
          <w:szCs w:val="32"/>
        </w:rPr>
        <w:t>分，不及格即</w:t>
      </w:r>
      <w:r>
        <w:rPr>
          <w:szCs w:val="32"/>
        </w:rPr>
        <w:t>59</w:t>
      </w:r>
      <w:r>
        <w:rPr>
          <w:szCs w:val="32"/>
        </w:rPr>
        <w:t>分及以下。</w:t>
      </w:r>
    </w:p>
    <w:p w14:paraId="3073048B" w14:textId="71D96D9B" w:rsidR="00141B58" w:rsidRDefault="00BF70E4">
      <w:pPr>
        <w:ind w:firstLine="643"/>
        <w:rPr>
          <w:szCs w:val="32"/>
        </w:rPr>
      </w:pPr>
      <w:r>
        <w:rPr>
          <w:b/>
          <w:bCs/>
          <w:szCs w:val="32"/>
        </w:rPr>
        <w:t>第十</w:t>
      </w:r>
      <w:r>
        <w:rPr>
          <w:rFonts w:hint="eastAsia"/>
          <w:b/>
          <w:bCs/>
          <w:szCs w:val="32"/>
        </w:rPr>
        <w:t>六</w:t>
      </w:r>
      <w:r>
        <w:rPr>
          <w:b/>
          <w:bCs/>
          <w:szCs w:val="32"/>
        </w:rPr>
        <w:t>条</w:t>
      </w:r>
      <w:r>
        <w:rPr>
          <w:rFonts w:hint="eastAsia"/>
          <w:b/>
          <w:bCs/>
          <w:szCs w:val="32"/>
        </w:rPr>
        <w:t xml:space="preserve"> </w:t>
      </w:r>
      <w:r>
        <w:rPr>
          <w:rFonts w:hint="eastAsia"/>
          <w:bCs/>
          <w:szCs w:val="32"/>
        </w:rPr>
        <w:t>学院按照当届各专业（方向）毕业论文学生比例分配各个专业（方向）的校级优秀毕业论文推荐名额。</w:t>
      </w:r>
      <w:r>
        <w:rPr>
          <w:rFonts w:hint="eastAsia"/>
          <w:color w:val="000000"/>
          <w:szCs w:val="32"/>
        </w:rPr>
        <w:t>学院从成绩评定为“优秀”的本科毕业论文中按</w:t>
      </w:r>
      <w:r>
        <w:rPr>
          <w:rFonts w:hint="eastAsia"/>
          <w:szCs w:val="32"/>
        </w:rPr>
        <w:t>总评成绩排序推荐校级优秀毕业论文。</w:t>
      </w:r>
      <w:bookmarkStart w:id="2" w:name="_Hlk179970048"/>
      <w:r w:rsidRPr="008B0CFF">
        <w:rPr>
          <w:bCs/>
          <w:kern w:val="0"/>
          <w:szCs w:val="32"/>
        </w:rPr>
        <w:t>如遇总评成绩相同的情况，则按答辩成绩从高到低排序</w:t>
      </w:r>
      <w:r w:rsidRPr="008B0CFF">
        <w:rPr>
          <w:rFonts w:hint="eastAsia"/>
          <w:bCs/>
          <w:kern w:val="0"/>
          <w:szCs w:val="32"/>
        </w:rPr>
        <w:t>，直至确定排序唯一。</w:t>
      </w:r>
      <w:bookmarkEnd w:id="2"/>
      <w:r>
        <w:rPr>
          <w:rFonts w:hint="eastAsia"/>
          <w:bCs/>
          <w:kern w:val="0"/>
          <w:szCs w:val="32"/>
        </w:rPr>
        <w:t>经学院本科教育与学位专门委员会审</w:t>
      </w:r>
      <w:r>
        <w:rPr>
          <w:rFonts w:hint="eastAsia"/>
          <w:bCs/>
          <w:kern w:val="0"/>
          <w:szCs w:val="32"/>
        </w:rPr>
        <w:lastRenderedPageBreak/>
        <w:t>议后在本单位内进行公示，公示期不少于</w:t>
      </w:r>
      <w:r>
        <w:rPr>
          <w:rFonts w:hint="eastAsia"/>
          <w:bCs/>
          <w:kern w:val="0"/>
          <w:szCs w:val="32"/>
        </w:rPr>
        <w:t>5</w:t>
      </w:r>
      <w:r>
        <w:rPr>
          <w:rFonts w:hint="eastAsia"/>
          <w:bCs/>
          <w:kern w:val="0"/>
          <w:szCs w:val="32"/>
        </w:rPr>
        <w:t>日。</w:t>
      </w:r>
    </w:p>
    <w:p w14:paraId="55048847" w14:textId="77777777" w:rsidR="00141B58" w:rsidRDefault="00BF70E4">
      <w:pPr>
        <w:ind w:firstLine="643"/>
        <w:rPr>
          <w:szCs w:val="32"/>
        </w:rPr>
      </w:pPr>
      <w:r>
        <w:rPr>
          <w:b/>
          <w:bCs/>
          <w:szCs w:val="32"/>
        </w:rPr>
        <w:t>第十</w:t>
      </w:r>
      <w:r>
        <w:rPr>
          <w:rFonts w:hint="eastAsia"/>
          <w:b/>
          <w:bCs/>
          <w:szCs w:val="32"/>
        </w:rPr>
        <w:t>七</w:t>
      </w:r>
      <w:r>
        <w:rPr>
          <w:b/>
          <w:bCs/>
          <w:szCs w:val="32"/>
        </w:rPr>
        <w:t>条</w:t>
      </w:r>
      <w:r>
        <w:rPr>
          <w:b/>
          <w:bCs/>
          <w:szCs w:val="32"/>
        </w:rPr>
        <w:t xml:space="preserve"> </w:t>
      </w:r>
      <w:r>
        <w:rPr>
          <w:szCs w:val="32"/>
        </w:rPr>
        <w:t>学院设立院级优秀本科毕业论文荣誉称号，</w:t>
      </w:r>
      <w:r>
        <w:rPr>
          <w:rFonts w:hint="eastAsia"/>
          <w:szCs w:val="32"/>
        </w:rPr>
        <w:t>名额不超过当届学生答辩论文数（不含往届已参加答辩、本届重新答辩的论文数）的</w:t>
      </w:r>
      <w:r>
        <w:rPr>
          <w:szCs w:val="32"/>
        </w:rPr>
        <w:t>15</w:t>
      </w:r>
      <w:r>
        <w:rPr>
          <w:rFonts w:hint="eastAsia"/>
          <w:szCs w:val="32"/>
        </w:rPr>
        <w:t>%</w:t>
      </w:r>
      <w:r>
        <w:rPr>
          <w:rFonts w:hint="eastAsia"/>
          <w:szCs w:val="32"/>
        </w:rPr>
        <w:t>，从成绩评定为“优秀”的本科毕业论文中按总评成绩排序评选、表彰院级优秀毕业论文。</w:t>
      </w:r>
      <w:proofErr w:type="gramStart"/>
      <w:r>
        <w:rPr>
          <w:rFonts w:hint="eastAsia"/>
          <w:bCs/>
          <w:kern w:val="0"/>
          <w:szCs w:val="32"/>
        </w:rPr>
        <w:t>拟获评</w:t>
      </w:r>
      <w:proofErr w:type="gramEnd"/>
      <w:r>
        <w:rPr>
          <w:rFonts w:hint="eastAsia"/>
          <w:bCs/>
          <w:kern w:val="0"/>
          <w:szCs w:val="32"/>
        </w:rPr>
        <w:t>名单经学院本科教育与学位专门委员会审议后在本单位内进行公示，公示期不少于</w:t>
      </w:r>
      <w:r>
        <w:rPr>
          <w:rFonts w:hint="eastAsia"/>
          <w:bCs/>
          <w:kern w:val="0"/>
          <w:szCs w:val="32"/>
        </w:rPr>
        <w:t>5</w:t>
      </w:r>
      <w:r>
        <w:rPr>
          <w:rFonts w:hint="eastAsia"/>
          <w:bCs/>
          <w:kern w:val="0"/>
          <w:szCs w:val="32"/>
        </w:rPr>
        <w:t>日。</w:t>
      </w:r>
    </w:p>
    <w:p w14:paraId="7F8A6FEB" w14:textId="77777777" w:rsidR="00141B58" w:rsidRDefault="00BF70E4">
      <w:pPr>
        <w:ind w:firstLine="640"/>
        <w:rPr>
          <w:szCs w:val="32"/>
        </w:rPr>
      </w:pPr>
      <w:proofErr w:type="gramStart"/>
      <w:r>
        <w:rPr>
          <w:rFonts w:hint="eastAsia"/>
          <w:szCs w:val="32"/>
        </w:rPr>
        <w:t>推荐校优和</w:t>
      </w:r>
      <w:proofErr w:type="gramEnd"/>
      <w:r>
        <w:rPr>
          <w:rFonts w:hint="eastAsia"/>
          <w:szCs w:val="32"/>
        </w:rPr>
        <w:t>评选</w:t>
      </w:r>
      <w:proofErr w:type="gramStart"/>
      <w:r>
        <w:rPr>
          <w:rFonts w:hint="eastAsia"/>
          <w:szCs w:val="32"/>
        </w:rPr>
        <w:t>院优</w:t>
      </w:r>
      <w:proofErr w:type="gramEnd"/>
      <w:r>
        <w:rPr>
          <w:rFonts w:hint="eastAsia"/>
          <w:szCs w:val="32"/>
        </w:rPr>
        <w:t>不重复，论文</w:t>
      </w:r>
      <w:proofErr w:type="gramStart"/>
      <w:r>
        <w:rPr>
          <w:rFonts w:hint="eastAsia"/>
          <w:szCs w:val="32"/>
        </w:rPr>
        <w:t>检测查重</w:t>
      </w:r>
      <w:proofErr w:type="gramEnd"/>
      <w:r>
        <w:rPr>
          <w:rFonts w:hint="eastAsia"/>
          <w:szCs w:val="32"/>
        </w:rPr>
        <w:t>率不超过</w:t>
      </w:r>
      <w:r>
        <w:rPr>
          <w:rFonts w:hint="eastAsia"/>
          <w:szCs w:val="32"/>
        </w:rPr>
        <w:t>10%</w:t>
      </w:r>
      <w:r>
        <w:rPr>
          <w:rFonts w:hint="eastAsia"/>
          <w:szCs w:val="32"/>
        </w:rPr>
        <w:t>，按照“宁缺勿滥”的规则。</w:t>
      </w:r>
    </w:p>
    <w:p w14:paraId="3DE905FF" w14:textId="77777777" w:rsidR="00141B58" w:rsidRDefault="00BF70E4">
      <w:pPr>
        <w:spacing w:line="560" w:lineRule="exact"/>
        <w:ind w:firstLine="643"/>
        <w:rPr>
          <w:snapToGrid w:val="0"/>
          <w:kern w:val="0"/>
          <w:szCs w:val="32"/>
        </w:rPr>
      </w:pPr>
      <w:r>
        <w:rPr>
          <w:b/>
          <w:bCs/>
          <w:szCs w:val="32"/>
        </w:rPr>
        <w:t>第十</w:t>
      </w:r>
      <w:r>
        <w:rPr>
          <w:rFonts w:hint="eastAsia"/>
          <w:b/>
          <w:bCs/>
          <w:szCs w:val="32"/>
        </w:rPr>
        <w:t>八</w:t>
      </w:r>
      <w:r>
        <w:rPr>
          <w:b/>
          <w:bCs/>
          <w:szCs w:val="32"/>
        </w:rPr>
        <w:t>条</w:t>
      </w:r>
      <w:r>
        <w:rPr>
          <w:b/>
          <w:bCs/>
          <w:szCs w:val="32"/>
        </w:rPr>
        <w:t xml:space="preserve"> </w:t>
      </w:r>
      <w:r>
        <w:rPr>
          <w:szCs w:val="32"/>
        </w:rPr>
        <w:t>学院加强对毕业论文</w:t>
      </w:r>
      <w:r>
        <w:rPr>
          <w:rFonts w:hint="eastAsia"/>
          <w:szCs w:val="32"/>
        </w:rPr>
        <w:t>的</w:t>
      </w:r>
      <w:r>
        <w:rPr>
          <w:szCs w:val="32"/>
        </w:rPr>
        <w:t>审核，严防严控意识形态风险，防范学术不端行为</w:t>
      </w:r>
      <w:r>
        <w:rPr>
          <w:rFonts w:hint="eastAsia"/>
          <w:szCs w:val="32"/>
        </w:rPr>
        <w:t>，强化论文质量建设。</w:t>
      </w:r>
    </w:p>
    <w:p w14:paraId="08A07608" w14:textId="77777777" w:rsidR="00141B58" w:rsidRDefault="00BF70E4">
      <w:pPr>
        <w:numPr>
          <w:ilvl w:val="0"/>
          <w:numId w:val="1"/>
        </w:numPr>
        <w:spacing w:line="560" w:lineRule="exact"/>
        <w:ind w:firstLineChars="200" w:firstLine="624"/>
        <w:jc w:val="both"/>
        <w:rPr>
          <w:color w:val="000000"/>
          <w:szCs w:val="32"/>
        </w:rPr>
      </w:pPr>
      <w:r>
        <w:rPr>
          <w:szCs w:val="32"/>
        </w:rPr>
        <w:t>根据实际情况梳理毕业论文工作流程及风险点，制定相应防控措施</w:t>
      </w:r>
      <w:r>
        <w:rPr>
          <w:rFonts w:hint="eastAsia"/>
          <w:szCs w:val="32"/>
        </w:rPr>
        <w:t>，</w:t>
      </w:r>
      <w:r>
        <w:rPr>
          <w:rFonts w:hint="eastAsia"/>
          <w:color w:val="000000"/>
          <w:szCs w:val="32"/>
        </w:rPr>
        <w:t>督促工作落实，做好工作记录。</w:t>
      </w:r>
    </w:p>
    <w:p w14:paraId="64C7173F" w14:textId="77777777" w:rsidR="00141B58" w:rsidRDefault="00BF70E4">
      <w:pPr>
        <w:numPr>
          <w:ilvl w:val="0"/>
          <w:numId w:val="1"/>
        </w:numPr>
        <w:spacing w:line="560" w:lineRule="exact"/>
        <w:ind w:firstLineChars="200" w:firstLine="624"/>
        <w:jc w:val="both"/>
        <w:rPr>
          <w:color w:val="000000"/>
          <w:szCs w:val="32"/>
        </w:rPr>
      </w:pPr>
      <w:r>
        <w:rPr>
          <w:rFonts w:hint="eastAsia"/>
          <w:color w:val="000000"/>
          <w:szCs w:val="32"/>
        </w:rPr>
        <w:t>组织院级督导员</w:t>
      </w:r>
      <w:r>
        <w:rPr>
          <w:color w:val="000000"/>
          <w:szCs w:val="32"/>
        </w:rPr>
        <w:t>现场考察毕业论文答辩过程，对</w:t>
      </w:r>
      <w:r>
        <w:rPr>
          <w:rFonts w:hint="eastAsia"/>
          <w:color w:val="000000"/>
          <w:szCs w:val="32"/>
        </w:rPr>
        <w:t>答辩会</w:t>
      </w:r>
      <w:r>
        <w:rPr>
          <w:color w:val="000000"/>
          <w:szCs w:val="32"/>
        </w:rPr>
        <w:t>组织情况、学生</w:t>
      </w:r>
      <w:r>
        <w:rPr>
          <w:rFonts w:hint="eastAsia"/>
          <w:color w:val="000000"/>
          <w:szCs w:val="32"/>
        </w:rPr>
        <w:t>论文质量、</w:t>
      </w:r>
      <w:r>
        <w:rPr>
          <w:color w:val="000000"/>
          <w:szCs w:val="32"/>
        </w:rPr>
        <w:t>答辩情况、评委提问质量等方面进行</w:t>
      </w:r>
      <w:r>
        <w:rPr>
          <w:rFonts w:hint="eastAsia"/>
          <w:color w:val="000000"/>
          <w:szCs w:val="32"/>
        </w:rPr>
        <w:t>全面监督和评估</w:t>
      </w:r>
      <w:r>
        <w:rPr>
          <w:rFonts w:ascii="仿宋_GB2312" w:hAnsi="仿宋_GB2312" w:cs="仿宋_GB2312" w:hint="eastAsia"/>
          <w:bCs/>
          <w:color w:val="000000"/>
          <w:szCs w:val="32"/>
        </w:rPr>
        <w:t>。</w:t>
      </w:r>
    </w:p>
    <w:p w14:paraId="31E64E5D" w14:textId="77777777" w:rsidR="00141B58" w:rsidRDefault="00BF70E4">
      <w:pPr>
        <w:ind w:firstLine="640"/>
        <w:rPr>
          <w:b/>
          <w:bCs/>
          <w:color w:val="000000"/>
          <w:szCs w:val="32"/>
        </w:rPr>
      </w:pPr>
      <w:r>
        <w:rPr>
          <w:rFonts w:hint="eastAsia"/>
          <w:color w:val="000000"/>
          <w:szCs w:val="32"/>
        </w:rPr>
        <w:t>（三）</w:t>
      </w:r>
      <w:r>
        <w:rPr>
          <w:color w:val="000000"/>
          <w:szCs w:val="32"/>
        </w:rPr>
        <w:t>定期听取关于论文选题、开题、中期检查、论文检测、评阅及答辩情况的汇报</w:t>
      </w:r>
      <w:r>
        <w:rPr>
          <w:rFonts w:hint="eastAsia"/>
          <w:color w:val="000000"/>
          <w:szCs w:val="32"/>
        </w:rPr>
        <w:t>。涉及毕业论文工作重要事项，按学院有关规定提交学院党委会、党政联席会议研究审议。</w:t>
      </w:r>
    </w:p>
    <w:p w14:paraId="6C3D160F" w14:textId="77777777" w:rsidR="00141B58" w:rsidRDefault="00BF70E4">
      <w:pPr>
        <w:ind w:firstLine="643"/>
        <w:rPr>
          <w:szCs w:val="32"/>
        </w:rPr>
      </w:pPr>
      <w:bookmarkStart w:id="3" w:name="_Hlk36024401"/>
      <w:r>
        <w:rPr>
          <w:rFonts w:hint="eastAsia"/>
          <w:b/>
          <w:bCs/>
          <w:szCs w:val="32"/>
        </w:rPr>
        <w:t>第十九条</w:t>
      </w:r>
      <w:r>
        <w:rPr>
          <w:rFonts w:hint="eastAsia"/>
          <w:szCs w:val="32"/>
        </w:rPr>
        <w:t xml:space="preserve"> </w:t>
      </w:r>
      <w:r>
        <w:rPr>
          <w:szCs w:val="32"/>
        </w:rPr>
        <w:t>导师对毕业论文指导不力，导师、答辩委员对论文审核不严但尚未造成严重后果的，经党政联席会讨论决定，可视具体情况对相关教职工进行预警或通报批评，并责令其限期整</w:t>
      </w:r>
      <w:r>
        <w:rPr>
          <w:szCs w:val="32"/>
        </w:rPr>
        <w:lastRenderedPageBreak/>
        <w:t>改，</w:t>
      </w:r>
      <w:r>
        <w:rPr>
          <w:color w:val="000000"/>
          <w:szCs w:val="32"/>
        </w:rPr>
        <w:t>并限制其</w:t>
      </w:r>
      <w:r>
        <w:rPr>
          <w:color w:val="000000"/>
          <w:szCs w:val="32"/>
        </w:rPr>
        <w:t>1-2</w:t>
      </w:r>
      <w:r>
        <w:rPr>
          <w:color w:val="000000"/>
          <w:szCs w:val="32"/>
        </w:rPr>
        <w:t>年内不能负责本科生毕业论文或参与答辩工作。</w:t>
      </w:r>
    </w:p>
    <w:bookmarkEnd w:id="3"/>
    <w:p w14:paraId="5040D2AF" w14:textId="5BBC4D1C" w:rsidR="00141B58" w:rsidRDefault="00BF70E4" w:rsidP="00165C5B">
      <w:pPr>
        <w:spacing w:line="500" w:lineRule="atLeast"/>
        <w:ind w:firstLineChars="200" w:firstLine="626"/>
        <w:rPr>
          <w:szCs w:val="32"/>
        </w:rPr>
      </w:pPr>
      <w:r>
        <w:rPr>
          <w:b/>
          <w:bCs/>
          <w:szCs w:val="32"/>
        </w:rPr>
        <w:t>第</w:t>
      </w:r>
      <w:r>
        <w:rPr>
          <w:rFonts w:hint="eastAsia"/>
          <w:b/>
          <w:bCs/>
          <w:szCs w:val="32"/>
        </w:rPr>
        <w:t>二</w:t>
      </w:r>
      <w:r>
        <w:rPr>
          <w:b/>
          <w:bCs/>
          <w:szCs w:val="32"/>
        </w:rPr>
        <w:t>十条</w:t>
      </w:r>
      <w:r>
        <w:rPr>
          <w:szCs w:val="32"/>
        </w:rPr>
        <w:t xml:space="preserve">  </w:t>
      </w:r>
      <w:r>
        <w:rPr>
          <w:szCs w:val="32"/>
        </w:rPr>
        <w:t>本细则经</w:t>
      </w:r>
      <w:r>
        <w:rPr>
          <w:rFonts w:hint="eastAsia"/>
          <w:szCs w:val="32"/>
        </w:rPr>
        <w:t>岭南学院</w:t>
      </w:r>
      <w:r w:rsidR="00165C5B" w:rsidRPr="00165C5B">
        <w:rPr>
          <w:szCs w:val="32"/>
        </w:rPr>
        <w:t>2024</w:t>
      </w:r>
      <w:r w:rsidR="00165C5B" w:rsidRPr="00165C5B">
        <w:rPr>
          <w:szCs w:val="32"/>
        </w:rPr>
        <w:t>年</w:t>
      </w:r>
      <w:r w:rsidR="00165C5B" w:rsidRPr="00165C5B">
        <w:rPr>
          <w:szCs w:val="32"/>
        </w:rPr>
        <w:t>10</w:t>
      </w:r>
      <w:r w:rsidR="00165C5B" w:rsidRPr="00165C5B">
        <w:rPr>
          <w:szCs w:val="32"/>
        </w:rPr>
        <w:t>月</w:t>
      </w:r>
      <w:r w:rsidR="00165C5B">
        <w:rPr>
          <w:rFonts w:hint="eastAsia"/>
          <w:szCs w:val="32"/>
        </w:rPr>
        <w:t>1</w:t>
      </w:r>
      <w:r w:rsidR="00165C5B">
        <w:rPr>
          <w:szCs w:val="32"/>
        </w:rPr>
        <w:t>8</w:t>
      </w:r>
      <w:r w:rsidR="00165C5B">
        <w:rPr>
          <w:szCs w:val="32"/>
        </w:rPr>
        <w:t>日</w:t>
      </w:r>
      <w:bookmarkStart w:id="4" w:name="_GoBack"/>
      <w:bookmarkEnd w:id="4"/>
      <w:r>
        <w:rPr>
          <w:szCs w:val="32"/>
        </w:rPr>
        <w:t>党政联席会议通讯评议审议通过，自</w:t>
      </w:r>
      <w:r>
        <w:rPr>
          <w:rFonts w:hint="eastAsia"/>
          <w:szCs w:val="32"/>
        </w:rPr>
        <w:t>公布之日起</w:t>
      </w:r>
      <w:r>
        <w:rPr>
          <w:szCs w:val="32"/>
        </w:rPr>
        <w:t>开始执行</w:t>
      </w:r>
      <w:r>
        <w:rPr>
          <w:rFonts w:hint="eastAsia"/>
          <w:szCs w:val="32"/>
        </w:rPr>
        <w:t>，</w:t>
      </w:r>
      <w:r>
        <w:rPr>
          <w:szCs w:val="32"/>
        </w:rPr>
        <w:t>由</w:t>
      </w:r>
      <w:r>
        <w:rPr>
          <w:rFonts w:hint="eastAsia"/>
          <w:szCs w:val="32"/>
        </w:rPr>
        <w:t>岭南</w:t>
      </w:r>
      <w:r>
        <w:rPr>
          <w:szCs w:val="32"/>
        </w:rPr>
        <w:t>学院负责解释。原《中山大学</w:t>
      </w:r>
      <w:r>
        <w:rPr>
          <w:rFonts w:hint="eastAsia"/>
          <w:szCs w:val="32"/>
        </w:rPr>
        <w:t>岭南</w:t>
      </w:r>
      <w:r>
        <w:rPr>
          <w:szCs w:val="32"/>
        </w:rPr>
        <w:t>学院本科生毕业论文</w:t>
      </w:r>
      <w:r>
        <w:rPr>
          <w:rFonts w:hint="eastAsia"/>
          <w:szCs w:val="32"/>
        </w:rPr>
        <w:t>工作管理细则</w:t>
      </w:r>
      <w:r>
        <w:rPr>
          <w:szCs w:val="32"/>
        </w:rPr>
        <w:t>》岭南〔</w:t>
      </w:r>
      <w:r>
        <w:rPr>
          <w:szCs w:val="32"/>
        </w:rPr>
        <w:t>2023</w:t>
      </w:r>
      <w:r>
        <w:rPr>
          <w:szCs w:val="32"/>
        </w:rPr>
        <w:t>〕</w:t>
      </w:r>
      <w:r>
        <w:rPr>
          <w:szCs w:val="32"/>
        </w:rPr>
        <w:t>129</w:t>
      </w:r>
      <w:r>
        <w:rPr>
          <w:szCs w:val="32"/>
        </w:rPr>
        <w:t>号同时废止。本细则未做明确规定的事项</w:t>
      </w:r>
      <w:r>
        <w:rPr>
          <w:rFonts w:hint="eastAsia"/>
          <w:szCs w:val="32"/>
        </w:rPr>
        <w:t>按照学校规定</w:t>
      </w:r>
      <w:r>
        <w:rPr>
          <w:szCs w:val="32"/>
        </w:rPr>
        <w:t>执行。</w:t>
      </w:r>
    </w:p>
    <w:p w14:paraId="74665CC9" w14:textId="77777777" w:rsidR="00141B58" w:rsidRPr="000F74EF" w:rsidRDefault="00141B58">
      <w:pPr>
        <w:spacing w:line="500" w:lineRule="atLeast"/>
        <w:ind w:firstLineChars="200" w:firstLine="624"/>
        <w:rPr>
          <w:szCs w:val="32"/>
        </w:rPr>
      </w:pPr>
    </w:p>
    <w:p w14:paraId="0985224E" w14:textId="77777777" w:rsidR="00141B58" w:rsidRDefault="00141B58">
      <w:pPr>
        <w:spacing w:line="500" w:lineRule="atLeast"/>
        <w:ind w:firstLineChars="200" w:firstLine="624"/>
        <w:rPr>
          <w:szCs w:val="32"/>
        </w:rPr>
      </w:pPr>
    </w:p>
    <w:p w14:paraId="54EDA577" w14:textId="77777777" w:rsidR="00141B58" w:rsidRDefault="00141B58">
      <w:pPr>
        <w:spacing w:line="500" w:lineRule="atLeast"/>
        <w:ind w:firstLineChars="200" w:firstLine="624"/>
        <w:rPr>
          <w:szCs w:val="32"/>
        </w:rPr>
      </w:pPr>
    </w:p>
    <w:p w14:paraId="1635A0B1" w14:textId="77777777" w:rsidR="00141B58" w:rsidRDefault="00141B58">
      <w:pPr>
        <w:spacing w:line="500" w:lineRule="atLeast"/>
        <w:ind w:firstLineChars="200" w:firstLine="624"/>
        <w:rPr>
          <w:szCs w:val="32"/>
        </w:rPr>
      </w:pPr>
    </w:p>
    <w:p w14:paraId="17F59EB8" w14:textId="77777777" w:rsidR="00141B58" w:rsidRDefault="00141B58">
      <w:pPr>
        <w:spacing w:line="500" w:lineRule="atLeast"/>
        <w:ind w:firstLineChars="200" w:firstLine="624"/>
        <w:rPr>
          <w:szCs w:val="32"/>
        </w:rPr>
      </w:pPr>
    </w:p>
    <w:p w14:paraId="3A474BAB" w14:textId="77777777" w:rsidR="00141B58" w:rsidRDefault="00141B58">
      <w:pPr>
        <w:spacing w:line="500" w:lineRule="atLeast"/>
        <w:ind w:firstLineChars="200" w:firstLine="624"/>
        <w:rPr>
          <w:szCs w:val="32"/>
        </w:rPr>
      </w:pPr>
    </w:p>
    <w:p w14:paraId="2EEF8861" w14:textId="77777777" w:rsidR="00141B58" w:rsidRDefault="00141B58">
      <w:pPr>
        <w:spacing w:line="500" w:lineRule="atLeast"/>
        <w:ind w:firstLineChars="200" w:firstLine="624"/>
        <w:rPr>
          <w:szCs w:val="32"/>
        </w:rPr>
      </w:pPr>
    </w:p>
    <w:p w14:paraId="02D0DC32" w14:textId="77777777" w:rsidR="00141B58" w:rsidRDefault="00141B58">
      <w:pPr>
        <w:spacing w:line="500" w:lineRule="atLeast"/>
        <w:ind w:firstLineChars="200" w:firstLine="624"/>
        <w:rPr>
          <w:szCs w:val="32"/>
        </w:rPr>
      </w:pPr>
    </w:p>
    <w:p w14:paraId="4627A615" w14:textId="77777777" w:rsidR="00141B58" w:rsidRDefault="00141B58">
      <w:pPr>
        <w:spacing w:line="500" w:lineRule="atLeast"/>
        <w:ind w:firstLineChars="200" w:firstLine="624"/>
        <w:rPr>
          <w:szCs w:val="32"/>
        </w:rPr>
      </w:pPr>
    </w:p>
    <w:p w14:paraId="26A9801C" w14:textId="77777777" w:rsidR="00141B58" w:rsidRDefault="00141B58">
      <w:pPr>
        <w:spacing w:line="500" w:lineRule="atLeast"/>
        <w:ind w:firstLineChars="200" w:firstLine="624"/>
        <w:rPr>
          <w:szCs w:val="32"/>
        </w:rPr>
      </w:pPr>
    </w:p>
    <w:p w14:paraId="25E129B8" w14:textId="77777777" w:rsidR="00141B58" w:rsidRDefault="00141B58">
      <w:pPr>
        <w:spacing w:line="500" w:lineRule="atLeast"/>
        <w:ind w:firstLineChars="200" w:firstLine="624"/>
        <w:rPr>
          <w:szCs w:val="32"/>
        </w:rPr>
      </w:pPr>
    </w:p>
    <w:bookmarkEnd w:id="0"/>
    <w:p w14:paraId="023FB12C" w14:textId="77777777" w:rsidR="00141B58" w:rsidRDefault="00141B58">
      <w:pPr>
        <w:spacing w:line="500" w:lineRule="atLeast"/>
        <w:ind w:firstLineChars="200" w:firstLine="624"/>
        <w:rPr>
          <w:szCs w:val="32"/>
        </w:rPr>
      </w:pPr>
    </w:p>
    <w:sectPr w:rsidR="00141B58">
      <w:footerReference w:type="even" r:id="rId8"/>
      <w:footerReference w:type="default" r:id="rId9"/>
      <w:footnotePr>
        <w:numFmt w:val="decimalEnclosedCircleChinese"/>
        <w:numRestart w:val="eachPage"/>
      </w:footnotePr>
      <w:pgSz w:w="11906" w:h="16838"/>
      <w:pgMar w:top="2098" w:right="1588" w:bottom="2041" w:left="1588" w:header="851" w:footer="1644" w:gutter="0"/>
      <w:cols w:sep="1" w:space="425"/>
      <w:docGrid w:type="linesAndChars" w:linePitch="577" w:charSpace="-16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45B6B" w14:textId="77777777" w:rsidR="00D724A3" w:rsidRDefault="00D724A3">
      <w:pPr>
        <w:spacing w:line="240" w:lineRule="auto"/>
      </w:pPr>
      <w:r>
        <w:separator/>
      </w:r>
    </w:p>
  </w:endnote>
  <w:endnote w:type="continuationSeparator" w:id="0">
    <w:p w14:paraId="6E6BC0D5" w14:textId="77777777" w:rsidR="00D724A3" w:rsidRDefault="00D724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fontKey="{58A18DE9-8111-4B6D-B68E-44570D3D6EDC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032E22F1-5596-422B-96FC-255E3256B493}"/>
    <w:embedBold r:id="rId3" w:subsetted="1" w:fontKey="{1A0E880B-352F-4379-B6BE-9605F8B65A5A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6C93E093-FC86-450E-B26B-F45E551D3B07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D094D" w14:textId="77777777" w:rsidR="00141B58" w:rsidRDefault="00BF70E4">
    <w:pPr>
      <w:pStyle w:val="ab"/>
      <w:ind w:leftChars="100" w:left="320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62493" w14:textId="77777777" w:rsidR="00141B58" w:rsidRDefault="00BF70E4">
    <w:pPr>
      <w:pStyle w:val="ab"/>
      <w:wordWrap w:val="0"/>
      <w:ind w:rightChars="100" w:right="32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1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B2724" w14:textId="77777777" w:rsidR="00D724A3" w:rsidRDefault="00D724A3">
      <w:pPr>
        <w:spacing w:line="240" w:lineRule="auto"/>
      </w:pPr>
      <w:r>
        <w:separator/>
      </w:r>
    </w:p>
  </w:footnote>
  <w:footnote w:type="continuationSeparator" w:id="0">
    <w:p w14:paraId="600108AF" w14:textId="77777777" w:rsidR="00D724A3" w:rsidRDefault="00D724A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1A6916"/>
    <w:multiLevelType w:val="singleLevel"/>
    <w:tmpl w:val="691A6916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embedTrueTypeFonts/>
  <w:bordersDoNotSurroundHeader/>
  <w:bordersDoNotSurroundFooter/>
  <w:proofState w:spelling="clean" w:grammar="clean"/>
  <w:attachedTemplate r:id="rId1"/>
  <w:defaultTabStop w:val="420"/>
  <w:evenAndOddHeaders/>
  <w:drawingGridHorizontalSpacing w:val="156"/>
  <w:drawingGridVerticalSpacing w:val="577"/>
  <w:displayHorizontalDrawingGridEvery w:val="0"/>
  <w:characterSpacingControl w:val="compressPunctuation"/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NjNjczMmE2Zjg3ZDhiYjYwNjhmOGE3ODE0OTdkMTgifQ=="/>
  </w:docVars>
  <w:rsids>
    <w:rsidRoot w:val="006C6B85"/>
    <w:rsid w:val="000011C3"/>
    <w:rsid w:val="000133BA"/>
    <w:rsid w:val="00016CDC"/>
    <w:rsid w:val="00030B15"/>
    <w:rsid w:val="00032809"/>
    <w:rsid w:val="00047A3B"/>
    <w:rsid w:val="0007068D"/>
    <w:rsid w:val="00073A78"/>
    <w:rsid w:val="00086706"/>
    <w:rsid w:val="000D6A64"/>
    <w:rsid w:val="000E3BC9"/>
    <w:rsid w:val="000E40F2"/>
    <w:rsid w:val="000F74EF"/>
    <w:rsid w:val="00134325"/>
    <w:rsid w:val="00141B58"/>
    <w:rsid w:val="0014608B"/>
    <w:rsid w:val="00155B43"/>
    <w:rsid w:val="00160C91"/>
    <w:rsid w:val="001636B0"/>
    <w:rsid w:val="00165C5B"/>
    <w:rsid w:val="00174B4D"/>
    <w:rsid w:val="00180691"/>
    <w:rsid w:val="001872BB"/>
    <w:rsid w:val="00192A77"/>
    <w:rsid w:val="001A15AC"/>
    <w:rsid w:val="001A4D7B"/>
    <w:rsid w:val="001B2074"/>
    <w:rsid w:val="001C4193"/>
    <w:rsid w:val="001C6263"/>
    <w:rsid w:val="001C6C10"/>
    <w:rsid w:val="001F02D0"/>
    <w:rsid w:val="001F44D9"/>
    <w:rsid w:val="00216360"/>
    <w:rsid w:val="00221B66"/>
    <w:rsid w:val="00244840"/>
    <w:rsid w:val="00255631"/>
    <w:rsid w:val="00262F8B"/>
    <w:rsid w:val="00265CBA"/>
    <w:rsid w:val="002821EC"/>
    <w:rsid w:val="002A307E"/>
    <w:rsid w:val="002D2105"/>
    <w:rsid w:val="002D45F3"/>
    <w:rsid w:val="002E2A09"/>
    <w:rsid w:val="002F0783"/>
    <w:rsid w:val="0030202D"/>
    <w:rsid w:val="003103C1"/>
    <w:rsid w:val="0031040F"/>
    <w:rsid w:val="00310A7F"/>
    <w:rsid w:val="00335496"/>
    <w:rsid w:val="00337874"/>
    <w:rsid w:val="003539FC"/>
    <w:rsid w:val="00387133"/>
    <w:rsid w:val="003A3701"/>
    <w:rsid w:val="003C4BE5"/>
    <w:rsid w:val="004547EE"/>
    <w:rsid w:val="00455838"/>
    <w:rsid w:val="00460FAC"/>
    <w:rsid w:val="00465033"/>
    <w:rsid w:val="00470269"/>
    <w:rsid w:val="004730FF"/>
    <w:rsid w:val="004C5FBC"/>
    <w:rsid w:val="00521703"/>
    <w:rsid w:val="0053500C"/>
    <w:rsid w:val="00540F53"/>
    <w:rsid w:val="005A02CB"/>
    <w:rsid w:val="005C23A3"/>
    <w:rsid w:val="005C43DF"/>
    <w:rsid w:val="005E0E1F"/>
    <w:rsid w:val="005F5C56"/>
    <w:rsid w:val="00661207"/>
    <w:rsid w:val="00677423"/>
    <w:rsid w:val="00680E17"/>
    <w:rsid w:val="00692C13"/>
    <w:rsid w:val="006A36AC"/>
    <w:rsid w:val="006B2F35"/>
    <w:rsid w:val="006C08DF"/>
    <w:rsid w:val="006C5CAD"/>
    <w:rsid w:val="006C6B85"/>
    <w:rsid w:val="006C767F"/>
    <w:rsid w:val="006E51C0"/>
    <w:rsid w:val="0073066D"/>
    <w:rsid w:val="00745D45"/>
    <w:rsid w:val="007471C9"/>
    <w:rsid w:val="00773311"/>
    <w:rsid w:val="00786028"/>
    <w:rsid w:val="007C3755"/>
    <w:rsid w:val="007D2BC8"/>
    <w:rsid w:val="007F1A60"/>
    <w:rsid w:val="00804651"/>
    <w:rsid w:val="00813C99"/>
    <w:rsid w:val="00837830"/>
    <w:rsid w:val="00841615"/>
    <w:rsid w:val="0085406F"/>
    <w:rsid w:val="0086691F"/>
    <w:rsid w:val="008719C0"/>
    <w:rsid w:val="00885C5E"/>
    <w:rsid w:val="00886BF3"/>
    <w:rsid w:val="008A57A9"/>
    <w:rsid w:val="008B0CFF"/>
    <w:rsid w:val="008B2665"/>
    <w:rsid w:val="008C2B60"/>
    <w:rsid w:val="008E0ACF"/>
    <w:rsid w:val="008F004B"/>
    <w:rsid w:val="008F44B5"/>
    <w:rsid w:val="00900508"/>
    <w:rsid w:val="009106E6"/>
    <w:rsid w:val="00936184"/>
    <w:rsid w:val="009E6909"/>
    <w:rsid w:val="009F1418"/>
    <w:rsid w:val="00A234BF"/>
    <w:rsid w:val="00A26FDD"/>
    <w:rsid w:val="00A64785"/>
    <w:rsid w:val="00A75BB9"/>
    <w:rsid w:val="00A915EA"/>
    <w:rsid w:val="00AA5679"/>
    <w:rsid w:val="00AD4CDB"/>
    <w:rsid w:val="00AE0D34"/>
    <w:rsid w:val="00AE6F99"/>
    <w:rsid w:val="00AF2D96"/>
    <w:rsid w:val="00B10A86"/>
    <w:rsid w:val="00B37F76"/>
    <w:rsid w:val="00B647F4"/>
    <w:rsid w:val="00B85281"/>
    <w:rsid w:val="00BA70CC"/>
    <w:rsid w:val="00BD4A48"/>
    <w:rsid w:val="00BE616B"/>
    <w:rsid w:val="00BF70E4"/>
    <w:rsid w:val="00BF7B90"/>
    <w:rsid w:val="00C143EB"/>
    <w:rsid w:val="00C30E21"/>
    <w:rsid w:val="00CA3663"/>
    <w:rsid w:val="00CC443F"/>
    <w:rsid w:val="00CC6871"/>
    <w:rsid w:val="00CF12DF"/>
    <w:rsid w:val="00D12D05"/>
    <w:rsid w:val="00D13ADC"/>
    <w:rsid w:val="00D20E9E"/>
    <w:rsid w:val="00D27289"/>
    <w:rsid w:val="00D724A3"/>
    <w:rsid w:val="00D75F23"/>
    <w:rsid w:val="00D8347C"/>
    <w:rsid w:val="00D9127E"/>
    <w:rsid w:val="00DB51AB"/>
    <w:rsid w:val="00DC3209"/>
    <w:rsid w:val="00DD0D46"/>
    <w:rsid w:val="00DD29A6"/>
    <w:rsid w:val="00DF07D8"/>
    <w:rsid w:val="00DF67E5"/>
    <w:rsid w:val="00E04624"/>
    <w:rsid w:val="00E24535"/>
    <w:rsid w:val="00E34E53"/>
    <w:rsid w:val="00E40940"/>
    <w:rsid w:val="00E47A39"/>
    <w:rsid w:val="00E546B9"/>
    <w:rsid w:val="00E85A0E"/>
    <w:rsid w:val="00E94857"/>
    <w:rsid w:val="00EC2618"/>
    <w:rsid w:val="00EC396D"/>
    <w:rsid w:val="00EF0F70"/>
    <w:rsid w:val="00F10BD3"/>
    <w:rsid w:val="00F23F54"/>
    <w:rsid w:val="00F52ABD"/>
    <w:rsid w:val="00F90C83"/>
    <w:rsid w:val="00FB34D4"/>
    <w:rsid w:val="00FD561B"/>
    <w:rsid w:val="00FF1E97"/>
    <w:rsid w:val="6BD0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ADA82"/>
  <w15:docId w15:val="{9619D509-2A4C-484B-A1A8-A80F20EE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540" w:lineRule="atLeast"/>
    </w:pPr>
    <w:rPr>
      <w:rFonts w:ascii="Times New Roman" w:eastAsia="仿宋_GB2312" w:hAnsi="Times New Roman"/>
      <w:kern w:val="2"/>
      <w:sz w:val="32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qFormat/>
    <w:pPr>
      <w:spacing w:line="520" w:lineRule="exact"/>
      <w:ind w:firstLineChars="200" w:firstLine="723"/>
    </w:pPr>
    <w:rPr>
      <w:rFonts w:ascii="等线" w:hAnsi="等线"/>
      <w:szCs w:val="24"/>
    </w:rPr>
  </w:style>
  <w:style w:type="paragraph" w:styleId="a5">
    <w:name w:val="Body Text"/>
    <w:basedOn w:val="a"/>
    <w:link w:val="a6"/>
    <w:qFormat/>
    <w:pPr>
      <w:spacing w:line="500" w:lineRule="atLeast"/>
    </w:pPr>
    <w:rPr>
      <w:rFonts w:ascii="宋体"/>
      <w:bCs/>
      <w:sz w:val="28"/>
    </w:rPr>
  </w:style>
  <w:style w:type="paragraph" w:styleId="a7">
    <w:name w:val="Body Text Indent"/>
    <w:basedOn w:val="a"/>
    <w:link w:val="a8"/>
    <w:qFormat/>
    <w:pPr>
      <w:spacing w:line="460" w:lineRule="atLeast"/>
      <w:ind w:firstLineChars="192" w:firstLine="461"/>
    </w:pPr>
    <w:rPr>
      <w:sz w:val="24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</w:pPr>
    <w:rPr>
      <w:rFonts w:ascii="Calibri" w:eastAsia="宋体" w:hAnsi="Calibri"/>
      <w:sz w:val="18"/>
      <w:szCs w:val="18"/>
    </w:rPr>
  </w:style>
  <w:style w:type="paragraph" w:styleId="ad">
    <w:name w:val="header"/>
    <w:basedOn w:val="a"/>
    <w:link w:val="ae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="Calibri" w:eastAsia="宋体" w:hAnsi="Calibri"/>
      <w:sz w:val="18"/>
      <w:szCs w:val="18"/>
    </w:rPr>
  </w:style>
  <w:style w:type="character" w:styleId="af">
    <w:name w:val="line number"/>
    <w:basedOn w:val="a0"/>
    <w:uiPriority w:val="99"/>
    <w:semiHidden/>
    <w:unhideWhenUsed/>
    <w:qFormat/>
  </w:style>
  <w:style w:type="character" w:customStyle="1" w:styleId="ae">
    <w:name w:val="页眉 字符"/>
    <w:link w:val="ad"/>
    <w:uiPriority w:val="99"/>
    <w:rPr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a8">
    <w:name w:val="正文文本缩进 字符"/>
    <w:link w:val="a7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正文文本 字符"/>
    <w:link w:val="a5"/>
    <w:qFormat/>
    <w:rPr>
      <w:rFonts w:ascii="宋体" w:eastAsia="宋体" w:hAnsi="Times New Roman" w:cs="Times New Roman"/>
      <w:bCs/>
      <w:sz w:val="28"/>
      <w:szCs w:val="24"/>
    </w:rPr>
  </w:style>
  <w:style w:type="character" w:customStyle="1" w:styleId="aa">
    <w:name w:val="批注框文本 字符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f0">
    <w:name w:val="List Paragraph"/>
    <w:basedOn w:val="a"/>
    <w:uiPriority w:val="34"/>
    <w:qFormat/>
    <w:pPr>
      <w:ind w:firstLineChars="200" w:firstLine="420"/>
    </w:pPr>
    <w:rPr>
      <w:rFonts w:ascii="Calibri" w:eastAsia="宋体" w:hAnsi="Calibri"/>
      <w:sz w:val="21"/>
      <w:szCs w:val="22"/>
    </w:rPr>
  </w:style>
  <w:style w:type="character" w:customStyle="1" w:styleId="a4">
    <w:name w:val="批注文字 字符"/>
    <w:basedOn w:val="a0"/>
    <w:link w:val="a3"/>
    <w:qFormat/>
    <w:rPr>
      <w:rFonts w:ascii="等线" w:eastAsia="仿宋_GB2312" w:hAnsi="等线"/>
      <w:kern w:val="2"/>
      <w:sz w:val="32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ngnan\Desktop\&#34892;&#25919;&#20107;&#21153;\0.&#20844;&#25991;&#25991;&#21495;\&#20844;&#20989;&#21450;&#21457;&#25991;&#27169;&#26495;\&#20844;&#20989;&#21450;&#20844;&#25991;&#27169;&#26495;\&#23725;&#21335;&#23398;&#38498;&#19979;&#34892;&#25991;&#27169;&#26495;&#65288;&#29256;&#35760;&#26377;&#21457;&#25918;&#21333;&#20301;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6C16E-1315-4825-93F5-38D8BB234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岭南学院下行文模板（版记有发放单位）.dotx</Template>
  <TotalTime>57</TotalTime>
  <Pages>7</Pages>
  <Words>463</Words>
  <Characters>2643</Characters>
  <Application>Microsoft Office Word</Application>
  <DocSecurity>0</DocSecurity>
  <Lines>22</Lines>
  <Paragraphs>6</Paragraphs>
  <ScaleCrop>false</ScaleCrop>
  <Company>SYSU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Lingnan</dc:creator>
  <cp:lastModifiedBy>Lingnan</cp:lastModifiedBy>
  <cp:revision>19</cp:revision>
  <cp:lastPrinted>2016-10-24T07:10:00Z</cp:lastPrinted>
  <dcterms:created xsi:type="dcterms:W3CDTF">2024-04-11T08:03:00Z</dcterms:created>
  <dcterms:modified xsi:type="dcterms:W3CDTF">2024-10-18T06:50:00Z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0DA9583A293D49B9967FF0E0FD99FCA9_12</vt:lpwstr>
  </property>
</Properties>
</file>